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加班与调休管理办法</w:t>
      </w:r>
    </w:p>
    <w:p>
      <w:r>
        <w:t xml:space="preserve">文件编号：HR-OTC-2026-003</w:t>
      </w:r>
    </w:p>
    <w:p>
      <w:r>
        <w:t xml:space="preserve">生效日期：2026-01-01</w:t>
      </w:r>
    </w:p>
    <w:p>
      <w:r>
        <w:rPr>
          <w:b/>
          <w:sz w:val="32"/>
        </w:rPr>
        <w:t xml:space="preserve">第一章 加班的认定</w:t>
      </w:r>
    </w:p>
    <w:p>
      <w:r>
        <w:t xml:space="preserve">第一条 加班指用人单位安排员工在法定标准工作时间以外提供劳动的情形。</w:t>
      </w:r>
    </w:p>
    <w:p>
      <w:r>
        <w:t xml:space="preserve">第二条 员工自愿延长在岗时间、未经审批的，不认定为加班。</w:t>
      </w:r>
    </w:p>
    <w:p>
      <w:r>
        <w:t xml:space="preserve">第三条 加班须事前提交加班申请并经审批。因紧急情况未能事前审批的，须在加班发生后 3 个工作日内补办审批。</w:t>
      </w:r>
    </w:p>
    <w:p>
      <w:r>
        <w:rPr>
          <w:b/>
          <w:sz w:val="32"/>
        </w:rPr>
        <w:t xml:space="preserve">第二章 加班时长上限</w:t>
      </w:r>
    </w:p>
    <w:p>
      <w:r>
        <w:t xml:space="preserve">第四条 每月加班时间不得超过 36 小时。依据为《中华人民共和国劳动法》第四十一条。</w:t>
      </w:r>
    </w:p>
    <w:p>
      <w:r>
        <w:t xml:space="preserve">第五条 综合计算工时制岗位的加班上限，按周期核算：周期内超出周期标准工时且按每月 36 小时折算不超标的，视为合规。</w:t>
      </w:r>
    </w:p>
    <w:p>
      <w:r>
        <w:t xml:space="preserve">第六条 人力资源部应在每月发薪前 7 个工作日，对全员加班时长进行合规扫描，发现接近或超出上限的，暂停该员工次月加班审批并通知部门负责人调整排班。</w:t>
      </w:r>
    </w:p>
    <w:p>
      <w:r>
        <w:rPr>
          <w:b/>
          <w:sz w:val="32"/>
        </w:rPr>
        <w:t xml:space="preserve">第三章 加班工资与调休</w:t>
      </w:r>
    </w:p>
    <w:p>
      <w:r>
        <w:t xml:space="preserve">第七条 加班工资按《中华人民共和国劳动法》第四十四条计付：</w:t>
      </w:r>
    </w:p>
    <w:tbl>
      <w:tblPr>
        <w:tblStyle w:val="TableGrid"/>
        <w:tblW w:w="0" w:type="auto"/>
      </w:tblPr>
      <w:tr>
        <w:tc>
          <w:tcPr>
            <w:tcW w:w="2000" w:type="dxa"/>
          </w:tcPr>
          <w:p>
            <w:r>
              <w:rPr>
                <w:b/>
              </w:rPr>
              <w:t xml:space="preserve">情形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计付标准</w:t>
            </w:r>
          </w:p>
        </w:tc>
      </w:tr>
      <w:tr>
        <w:tc>
          <w:tcPr>
            <w:tcW w:w="2000" w:type="dxa"/>
          </w:tcPr>
          <w:p>
            <w:r>
              <w:t xml:space="preserve">工作日延长工作时间</w:t>
            </w:r>
          </w:p>
        </w:tc>
        <w:tc>
          <w:tcPr>
            <w:tcW w:w="2000" w:type="dxa"/>
          </w:tcPr>
          <w:p>
            <w:r>
              <w:t xml:space="preserve">不低于小时工资的 150%</w:t>
            </w:r>
          </w:p>
        </w:tc>
      </w:tr>
      <w:tr>
        <w:tc>
          <w:tcPr>
            <w:tcW w:w="2000" w:type="dxa"/>
          </w:tcPr>
          <w:p>
            <w:r>
              <w:t xml:space="preserve">休息日安排工作且不能安排补休</w:t>
            </w:r>
          </w:p>
        </w:tc>
        <w:tc>
          <w:tcPr>
            <w:tcW w:w="2000" w:type="dxa"/>
          </w:tcPr>
          <w:p>
            <w:r>
              <w:t xml:space="preserve">不低于小时工资的 200%</w:t>
            </w:r>
          </w:p>
        </w:tc>
      </w:tr>
      <w:tr>
        <w:tc>
          <w:tcPr>
            <w:tcW w:w="2000" w:type="dxa"/>
          </w:tcPr>
          <w:p>
            <w:r>
              <w:t xml:space="preserve">法定休假日安排工作</w:t>
            </w:r>
          </w:p>
        </w:tc>
        <w:tc>
          <w:tcPr>
            <w:tcW w:w="2000" w:type="dxa"/>
          </w:tcPr>
          <w:p>
            <w:r>
              <w:t xml:space="preserve">不低于小时工资的 300%</w:t>
            </w:r>
          </w:p>
        </w:tc>
      </w:tr>
    </w:tbl>
    <w:p/>
    <w:p>
      <w:r>
        <w:t xml:space="preserve">第八条 休息日加班，公司优先安排调休。已安排调休的休息日加班，不再计付 200% 加班工资。</w:t>
      </w:r>
    </w:p>
    <w:p>
      <w:r>
        <w:t xml:space="preserve">第九条 调休应在加班所在季度内完成。逾期未调休的，按小时工资的 200% 计付。</w:t>
      </w:r>
    </w:p>
    <w:p>
      <w:r>
        <w:t xml:space="preserve">第十条 调休最小单位为 0.5 天，须事前在系统提交申请并经审批。</w:t>
      </w:r>
    </w:p>
    <w:p>
      <w:r>
        <w:rPr>
          <w:b/>
          <w:sz w:val="32"/>
        </w:rPr>
        <w:t xml:space="preserve">第四章 合规预警</w:t>
      </w:r>
    </w:p>
    <w:p>
      <w:r>
        <w:t xml:space="preserve">第十一条 系统对下列情形自动生成合规预警，并推送至人力资源部与员工所在部门负责人：</w:t>
      </w:r>
    </w:p>
    <w:tbl>
      <w:tblPr>
        <w:tblStyle w:val="TableGrid"/>
        <w:tblW w:w="0" w:type="auto"/>
      </w:tblPr>
      <w:tr>
        <w:tc>
          <w:tcPr>
            <w:tcW w:w="2000" w:type="dxa"/>
          </w:tcPr>
          <w:p>
            <w:r>
              <w:rPr>
                <w:b/>
              </w:rPr>
              <w:t xml:space="preserve">预警项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触发条件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等级</w:t>
            </w:r>
          </w:p>
        </w:tc>
      </w:tr>
      <w:tr>
        <w:tc>
          <w:tcPr>
            <w:tcW w:w="2000" w:type="dxa"/>
          </w:tcPr>
          <w:p>
            <w:r>
              <w:t xml:space="preserve">周工时超限</w:t>
            </w:r>
          </w:p>
        </w:tc>
        <w:tc>
          <w:tcPr>
            <w:tcW w:w="2000" w:type="dxa"/>
          </w:tcPr>
          <w:p>
            <w:r>
              <w:t xml:space="preserve">标准工时制岗位周实际工时超过 40 小时</w:t>
            </w:r>
          </w:p>
        </w:tc>
        <w:tc>
          <w:tcPr>
            <w:tcW w:w="2000" w:type="dxa"/>
          </w:tcPr>
          <w:p>
            <w:r>
              <w:t xml:space="preserve">高</w:t>
            </w:r>
          </w:p>
        </w:tc>
      </w:tr>
      <w:tr>
        <w:tc>
          <w:tcPr>
            <w:tcW w:w="2000" w:type="dxa"/>
          </w:tcPr>
          <w:p>
            <w:r>
              <w:t xml:space="preserve">月加班超限</w:t>
            </w:r>
          </w:p>
        </w:tc>
        <w:tc>
          <w:tcPr>
            <w:tcW w:w="2000" w:type="dxa"/>
          </w:tcPr>
          <w:p>
            <w:r>
              <w:t xml:space="preserve">月累计加班超过 36 小时</w:t>
            </w:r>
          </w:p>
        </w:tc>
        <w:tc>
          <w:tcPr>
            <w:tcW w:w="2000" w:type="dxa"/>
          </w:tcPr>
          <w:p>
            <w:r>
              <w:t xml:space="preserve">高</w:t>
            </w:r>
          </w:p>
        </w:tc>
      </w:tr>
      <w:tr>
        <w:tc>
          <w:tcPr>
            <w:tcW w:w="2000" w:type="dxa"/>
          </w:tcPr>
          <w:p>
            <w:r>
              <w:t xml:space="preserve">季度调休未消化</w:t>
            </w:r>
          </w:p>
        </w:tc>
        <w:tc>
          <w:tcPr>
            <w:tcW w:w="2000" w:type="dxa"/>
          </w:tcPr>
          <w:p>
            <w:r>
              <w:t xml:space="preserve">季度累计加班已产生调休额度，已调休为 0 且季度剩余不足 30 天</w:t>
            </w:r>
          </w:p>
        </w:tc>
        <w:tc>
          <w:tcPr>
            <w:tcW w:w="2000" w:type="dxa"/>
          </w:tcPr>
          <w:p>
            <w:r>
              <w:t xml:space="preserve">高</w:t>
            </w:r>
          </w:p>
        </w:tc>
      </w:tr>
      <w:tr>
        <w:tc>
          <w:tcPr>
            <w:tcW w:w="2000" w:type="dxa"/>
          </w:tcPr>
          <w:p>
            <w:r>
              <w:t xml:space="preserve">弹性时段越界</w:t>
            </w:r>
          </w:p>
        </w:tc>
        <w:tc>
          <w:tcPr>
            <w:tcW w:w="2000" w:type="dxa"/>
          </w:tcPr>
          <w:p>
            <w:r>
              <w:t xml:space="preserve">弹性时段岗位月度核心时段未在岗超过 5 次</w:t>
            </w:r>
          </w:p>
        </w:tc>
        <w:tc>
          <w:tcPr>
            <w:tcW w:w="2000" w:type="dxa"/>
          </w:tcPr>
          <w:p>
            <w:r>
              <w:t xml:space="preserve">中</w:t>
            </w:r>
          </w:p>
        </w:tc>
      </w:tr>
      <w:tr>
        <w:tc>
          <w:tcPr>
            <w:tcW w:w="2000" w:type="dxa"/>
          </w:tcPr>
          <w:p>
            <w:r>
              <w:t xml:space="preserve">连续出勤无休</w:t>
            </w:r>
          </w:p>
        </w:tc>
        <w:tc>
          <w:tcPr>
            <w:tcW w:w="2000" w:type="dxa"/>
          </w:tcPr>
          <w:p>
            <w:r>
              <w:t xml:space="preserve">连续出勤达到 12 天</w:t>
            </w:r>
          </w:p>
        </w:tc>
        <w:tc>
          <w:tcPr>
            <w:tcW w:w="2000" w:type="dxa"/>
          </w:tcPr>
          <w:p>
            <w:r>
              <w:t xml:space="preserve">中</w:t>
            </w:r>
          </w:p>
        </w:tc>
      </w:tr>
    </w:tbl>
    <w:p/>
    <w:p>
      <w:r>
        <w:t xml:space="preserve">第十二条 预警等级为"高"的，部门负责人须在 5 个工作日内提交处置方案；等级为"中"的，由系统记录并由部门自行跟进。</w:t>
      </w:r>
    </w:p>
    <w:p>
      <w:r>
        <w:rPr>
          <w:b/>
          <w:sz w:val="32"/>
        </w:rPr>
        <w:t xml:space="preserve">第五章 附则</w:t>
      </w:r>
    </w:p>
    <w:p>
      <w:r>
        <w:t xml:space="preserve">第十三条 本办法由人力资源部负责解释，自 2026 年 1 月 1 日起施行。</w:t>
      </w:r>
    </w:p>
    <w:sectPr/>
  </w:body>
</w:document>
</file>