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E3E"/>
          <w:sz w:val="64"/>
        </w:rPr>
        <w:t>AI Labor Forecast</w:t>
      </w:r>
    </w:p>
    <w:p>
      <w:pPr>
        <w:jc w:val="center"/>
      </w:pPr>
      <w:r>
        <w:rPr>
          <w:color w:val="0F1E3E"/>
          <w:sz w:val="56"/>
        </w:rPr>
        <w:t>Methodology Appendix</w:t>
      </w:r>
    </w:p>
    <w:p/>
    <w:p>
      <w:pPr>
        <w:jc w:val="center"/>
      </w:pPr>
      <w:r>
        <w:rPr>
          <w:color w:val="2563EB"/>
        </w:rPr>
        <w:t>______________________________</w:t>
      </w:r>
    </w:p>
    <w:p/>
    <w:p>
      <w:pPr>
        <w:jc w:val="center"/>
      </w:pPr>
      <w:r>
        <w:rPr>
          <w:color w:val="374151"/>
          <w:sz w:val="24"/>
        </w:rPr>
        <w:t>18-Month AI Labor Displacement Forecast</w:t>
        <w:br/>
        <w:t>2×2 Scenario Framework  ·  21 Industries  ·  462 Occupations</w:t>
      </w:r>
    </w:p>
    <w:p/>
    <w:p/>
    <w:p/>
    <w:p/>
    <w:p/>
    <w:p/>
    <w:p>
      <w:pPr>
        <w:jc w:val="center"/>
      </w:pPr>
      <w:r>
        <w:rPr>
          <w:color w:val="949BA8"/>
          <w:sz w:val="20"/>
        </w:rPr>
        <w:t>March 2026  ·  Confidential</w:t>
      </w:r>
    </w:p>
    <w:p>
      <w:r>
        <w:br w:type="page"/>
      </w:r>
    </w:p>
    <w:p>
      <w:pPr>
        <w:pStyle w:val="Heading1"/>
      </w:pPr>
      <w:r>
        <w:t>Contents</w:t>
      </w:r>
    </w:p>
    <w:p>
      <w:r>
        <w:rPr>
          <w:color w:val="374151"/>
          <w:sz w:val="21"/>
        </w:rPr>
        <w:t>1.   Executive Summary</w:t>
      </w:r>
    </w:p>
    <w:p>
      <w:r>
        <w:rPr>
          <w:color w:val="374151"/>
          <w:sz w:val="21"/>
        </w:rPr>
        <w:t>2.   The Master Equation</w:t>
      </w:r>
    </w:p>
    <w:p>
      <w:r>
        <w:rPr>
          <w:color w:val="374151"/>
          <w:sz w:val="21"/>
        </w:rPr>
        <w:t>3.   Three Analytical Layers</w:t>
      </w:r>
    </w:p>
    <w:p>
      <w:r>
        <w:rPr>
          <w:color w:val="374151"/>
          <w:sz w:val="21"/>
        </w:rPr>
        <w:t>4.   Layer 1 — Task-Level Automatability</w:t>
      </w:r>
    </w:p>
    <w:p>
      <w:r>
        <w:rPr>
          <w:color w:val="374151"/>
          <w:sz w:val="21"/>
        </w:rPr>
        <w:t>5.   Layer 2 — Job-Level Automatability</w:t>
      </w:r>
    </w:p>
    <w:p>
      <w:r>
        <w:rPr>
          <w:color w:val="374151"/>
          <w:sz w:val="21"/>
        </w:rPr>
        <w:t>6.   Layer 3 — Industry-Level Frictions</w:t>
      </w:r>
    </w:p>
    <w:p>
      <w:r>
        <w:rPr>
          <w:color w:val="374151"/>
          <w:sz w:val="21"/>
        </w:rPr>
        <w:t>7.   The 2×2 Scenario Framework</w:t>
      </w:r>
    </w:p>
    <w:p>
      <w:r>
        <w:rPr>
          <w:color w:val="374151"/>
          <w:sz w:val="21"/>
        </w:rPr>
        <w:t>8.   Validation &amp; Quality Assurance</w:t>
      </w:r>
    </w:p>
    <w:p>
      <w:r>
        <w:rPr>
          <w:color w:val="374151"/>
          <w:sz w:val="21"/>
        </w:rPr>
        <w:t>9.   Key Design Principles</w:t>
      </w:r>
    </w:p>
    <w:p>
      <w:r>
        <w:br w:type="page"/>
      </w:r>
    </w:p>
    <w:p>
      <w:pPr>
        <w:pStyle w:val="Heading1"/>
      </w:pPr>
      <w:r>
        <w:t>1.  Executive Summary</w:t>
      </w:r>
    </w:p>
    <w:p>
      <w:r>
        <w:t>The AI Labor Forecast is a bottom-up, scenario-driven model that estimates the share of employment at risk of displacement by AI within an 18-month horizon (through October 2027). It spans 21 industry sectors, 462 occupations, and over 5,300 individual work tasks.</w:t>
      </w:r>
    </w:p>
    <w:p>
      <w:r>
        <w:t>Rather than making a single-point prediction, the model produces four displacement estimates per sector by crossing two independent axes of uncertainty:</w:t>
      </w:r>
    </w:p>
    <w:p>
      <w:pPr>
        <w:pStyle w:val="ListBullet"/>
      </w:pPr>
      <w:r>
        <w:rPr>
          <w:b/>
        </w:rPr>
        <w:t xml:space="preserve">Technology capability. </w:t>
      </w:r>
      <w:r>
        <w:t>How far will frontier AI models advance — moderate, steady-state improvements, or a significant step-change with architectural breakthroughs?</w:t>
      </w:r>
    </w:p>
    <w:p>
      <w:pPr>
        <w:pStyle w:val="ListBullet"/>
      </w:pPr>
      <w:r>
        <w:rPr>
          <w:b/>
        </w:rPr>
        <w:t xml:space="preserve">Adoption friction. </w:t>
      </w:r>
      <w:r>
        <w:t>How quickly will organizations deploy AI at scale — encountering low institutional resistance, or high friction from legacy systems, regulation, and cultural inertia?</w:t>
      </w:r>
    </w:p>
    <w:p>
      <w:r>
        <w:t>The result is a displacement rate for each sector×scenario combination, expressed as the percentage of current employment at risk over 18 months. This is not a prediction of layoffs — it is the upper envelope of roles where AI could economically substitute for human labor, before firms make strategic decisions about redeployment, reskilling, or growth.</w:t>
      </w:r>
    </w:p>
    <w:p>
      <w:r>
        <w:t>The model is multiplicative by design: displacement only registers when a job is technically automatable AND the workflow allows separation AND the industry adopts the technology AND regulation permits it. Any single bottleneck — a tightly coupled workflow, a liability regime, a slow-adopting sector — compresses the estimate toward zero.</w:t>
      </w:r>
    </w:p>
    <w:p>
      <w:r>
        <w:br w:type="page"/>
      </w:r>
    </w:p>
    <w:p>
      <w:pPr>
        <w:pStyle w:val="Heading1"/>
      </w:pPr>
      <w:r>
        <w:t>2.  The Master Equation</w:t>
      </w:r>
    </w:p>
    <w:p>
      <w:r>
        <w:t>Every displacement estimate in the forecast is produced by one equation:</w:t>
      </w:r>
    </w:p>
    <w:p>
      <w:pPr>
        <w:spacing w:before="240" w:after="240"/>
        <w:jc w:val="center"/>
      </w:pPr>
      <w:r>
        <w:rPr>
          <w:rFonts w:ascii="Consolas" w:hAnsi="Consolas"/>
          <w:b/>
          <w:color w:val="0F1E3E"/>
          <w:sz w:val="24"/>
        </w:rPr>
        <w:t>d(t; i, s)  =  d_max(i)  ×  S(a(i,s))  ×  E(i)  ×  T(t; i, s)  ×  R(i)</w:t>
      </w:r>
    </w:p>
    <w:p>
      <w:r>
        <w:t>Where:</w:t>
      </w:r>
    </w:p>
    <w:p>
      <w:r>
        <w:rPr>
          <w:rFonts w:ascii="Consolas" w:hAnsi="Consolas"/>
          <w:b/>
          <w:sz w:val="18"/>
        </w:rPr>
        <w:t>d(t; i, s)</w:t>
      </w:r>
      <w:r>
        <w:t xml:space="preserve">  —  Displacement rate for industry i, scenario s, at time t (18 months)</w:t>
      </w:r>
    </w:p>
    <w:p>
      <w:r>
        <w:rPr>
          <w:rFonts w:ascii="Consolas" w:hAnsi="Consolas"/>
          <w:b/>
          <w:sz w:val="18"/>
        </w:rPr>
        <w:t>d_max(i)</w:t>
      </w:r>
      <w:r>
        <w:t xml:space="preserve">  —  Displacement ceiling — the maximum rate at which jobs can structurally disappear in sector i, derived from historical labor turnover data</w:t>
      </w:r>
    </w:p>
    <w:p>
      <w:r>
        <w:rPr>
          <w:rFonts w:ascii="Consolas" w:hAnsi="Consolas"/>
          <w:b/>
          <w:sz w:val="18"/>
        </w:rPr>
        <w:t>S(a(i,s))</w:t>
      </w:r>
      <w:r>
        <w:t xml:space="preserve">  —  Sigmoid-transformed automatability — how much of the sector's work AI can technically perform, compressed through a sigmoid to dampen extreme values</w:t>
      </w:r>
    </w:p>
    <w:p>
      <w:r>
        <w:rPr>
          <w:rFonts w:ascii="Consolas" w:hAnsi="Consolas"/>
          <w:b/>
          <w:sz w:val="18"/>
        </w:rPr>
        <w:t>E(i)</w:t>
      </w:r>
      <w:r>
        <w:t xml:space="preserve">  —  Elasticity dampener — captures the Jevons paradox: does cheaper AI-driven output create new demand that absorbs displaced workers, or is demand fixed?</w:t>
      </w:r>
    </w:p>
    <w:p>
      <w:r>
        <w:rPr>
          <w:rFonts w:ascii="Consolas" w:hAnsi="Consolas"/>
          <w:b/>
          <w:sz w:val="18"/>
        </w:rPr>
        <w:t>T(t; i, s)</w:t>
      </w:r>
      <w:r>
        <w:t xml:space="preserve">  —  Adoption velocity — a logistic S-curve capturing how fast the industry actually deploys AI, given both technological readiness and institutional frictions</w:t>
      </w:r>
    </w:p>
    <w:p>
      <w:r>
        <w:rPr>
          <w:rFonts w:ascii="Consolas" w:hAnsi="Consolas"/>
          <w:b/>
          <w:sz w:val="18"/>
        </w:rPr>
        <w:t>R(i)</w:t>
      </w:r>
      <w:r>
        <w:t xml:space="preserve">  —  Structural resistance — hard regulatory floors, licensure mandates, and liability regimes that cap displacement regardless of technical capability</w:t>
      </w:r>
    </w:p>
    <w:p/>
    <w:p>
      <w:r>
        <w:t>The multiplicative structure is the core design choice. Each factor acts as a gate: if any one of them is near zero, the product collapses. A job can be highly automatable (high S(a)) but still show minimal displacement if the industry is slow to adopt (low T), demand absorbs the productivity gains (low E), or regulation blocks deployment (low R). This prevents the model from generating implausible displacement estimates driven by a single dominant factor.</w:t>
      </w:r>
    </w:p>
    <w:p>
      <w:r>
        <w:br w:type="page"/>
      </w:r>
    </w:p>
    <w:p>
      <w:pPr>
        <w:pStyle w:val="Heading1"/>
      </w:pPr>
      <w:r>
        <w:t>3.  Three Analytical Layers</w:t>
      </w:r>
    </w:p>
    <w:p>
      <w:r>
        <w:t>The model builds displacement estimates from the bottom up through three nested layers: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0F1E3E"/>
          </w:tcPr>
          <w:p>
            <w:pPr>
              <w:jc w:val="center"/>
            </w:pPr>
            <w:r/>
            <w:r>
              <w:rPr>
                <w:b/>
                <w:color w:val="FFFFFF"/>
                <w:sz w:val="18"/>
              </w:rPr>
              <w:t>Layer</w:t>
            </w:r>
          </w:p>
        </w:tc>
        <w:tc>
          <w:tcPr>
            <w:tcW w:type="dxa" w:w="2268"/>
            <w:shd w:fill="0F1E3E"/>
          </w:tcPr>
          <w:p>
            <w:pPr>
              <w:jc w:val="center"/>
            </w:pPr>
            <w:r/>
            <w:r>
              <w:rPr>
                <w:b/>
                <w:color w:val="FFFFFF"/>
                <w:sz w:val="18"/>
              </w:rPr>
              <w:t>Unit of Analysis</w:t>
            </w:r>
          </w:p>
        </w:tc>
        <w:tc>
          <w:tcPr>
            <w:tcW w:type="dxa" w:w="2551"/>
            <w:shd w:fill="0F1E3E"/>
          </w:tcPr>
          <w:p>
            <w:pPr>
              <w:jc w:val="center"/>
            </w:pPr>
            <w:r/>
            <w:r>
              <w:rPr>
                <w:b/>
                <w:color w:val="FFFFFF"/>
                <w:sz w:val="18"/>
              </w:rPr>
              <w:t>Count</w:t>
            </w:r>
          </w:p>
        </w:tc>
        <w:tc>
          <w:tcPr>
            <w:tcW w:type="dxa" w:w="2551"/>
            <w:shd w:fill="0F1E3E"/>
          </w:tcPr>
          <w:p>
            <w:pPr>
              <w:jc w:val="center"/>
            </w:pPr>
            <w:r/>
            <w:r>
              <w:rPr>
                <w:b/>
                <w:color w:val="FFFFFF"/>
                <w:sz w:val="18"/>
              </w:rPr>
              <w:t>Key Output</w:t>
            </w:r>
          </w:p>
        </w:tc>
      </w:tr>
      <w:tr>
        <w:tc>
          <w:tcPr>
            <w:tcW w:type="dxa" w:w="1701"/>
          </w:tcPr>
          <w:p>
            <w:r/>
            <w:r>
              <w:rPr>
                <w:color w:val="26262A"/>
                <w:sz w:val="17"/>
              </w:rPr>
              <w:t>Task-Level</w:t>
            </w:r>
          </w:p>
        </w:tc>
        <w:tc>
          <w:tcPr>
            <w:tcW w:type="dxa" w:w="2268"/>
          </w:tcPr>
          <w:p>
            <w:r/>
            <w:r>
              <w:rPr>
                <w:color w:val="26262A"/>
                <w:sz w:val="17"/>
              </w:rPr>
              <w:t>Individual work tasks</w:t>
            </w:r>
          </w:p>
        </w:tc>
        <w:tc>
          <w:tcPr>
            <w:tcW w:type="dxa" w:w="2551"/>
          </w:tcPr>
          <w:p>
            <w:r/>
            <w:r>
              <w:rPr>
                <w:color w:val="26262A"/>
                <w:sz w:val="17"/>
              </w:rPr>
              <w:t>5,383 tasks × 2 scenarios</w:t>
            </w:r>
          </w:p>
        </w:tc>
        <w:tc>
          <w:tcPr>
            <w:tcW w:type="dxa" w:w="2551"/>
          </w:tcPr>
          <w:p>
            <w:r/>
            <w:r>
              <w:rPr>
                <w:color w:val="26262A"/>
                <w:sz w:val="17"/>
              </w:rPr>
              <w:t>Autonomy fraction per task</w:t>
            </w:r>
          </w:p>
        </w:tc>
      </w:tr>
      <w:tr>
        <w:tc>
          <w:tcPr>
            <w:tcW w:type="dxa" w:w="1701"/>
            <w:shd w:fill="F5F7FB"/>
          </w:tcPr>
          <w:p>
            <w:r/>
            <w:r>
              <w:rPr>
                <w:color w:val="26262A"/>
                <w:sz w:val="17"/>
              </w:rPr>
              <w:t>Job-Level</w:t>
            </w:r>
          </w:p>
        </w:tc>
        <w:tc>
          <w:tcPr>
            <w:tcW w:type="dxa" w:w="2268"/>
            <w:shd w:fill="F5F7FB"/>
          </w:tcPr>
          <w:p>
            <w:r/>
            <w:r>
              <w:rPr>
                <w:color w:val="26262A"/>
                <w:sz w:val="17"/>
              </w:rPr>
              <w:t>SOC occupations</w:t>
            </w:r>
          </w:p>
        </w:tc>
        <w:tc>
          <w:tcPr>
            <w:tcW w:type="dxa" w:w="2551"/>
            <w:shd w:fill="F5F7FB"/>
          </w:tcPr>
          <w:p>
            <w:r/>
            <w:r>
              <w:rPr>
                <w:color w:val="26262A"/>
                <w:sz w:val="17"/>
              </w:rPr>
              <w:t>462 occupations</w:t>
            </w:r>
          </w:p>
        </w:tc>
        <w:tc>
          <w:tcPr>
            <w:tcW w:type="dxa" w:w="2551"/>
            <w:shd w:fill="F5F7FB"/>
          </w:tcPr>
          <w:p>
            <w:r/>
            <w:r>
              <w:rPr>
                <w:color w:val="26262A"/>
                <w:sz w:val="17"/>
              </w:rPr>
              <w:t>Automatability score a(j,s)</w:t>
            </w:r>
          </w:p>
        </w:tc>
      </w:tr>
      <w:tr>
        <w:tc>
          <w:tcPr>
            <w:tcW w:type="dxa" w:w="1701"/>
          </w:tcPr>
          <w:p>
            <w:r/>
            <w:r>
              <w:rPr>
                <w:color w:val="26262A"/>
                <w:sz w:val="17"/>
              </w:rPr>
              <w:t>Industry-Level</w:t>
            </w:r>
          </w:p>
        </w:tc>
        <w:tc>
          <w:tcPr>
            <w:tcW w:type="dxa" w:w="2268"/>
          </w:tcPr>
          <w:p>
            <w:r/>
            <w:r>
              <w:rPr>
                <w:color w:val="26262A"/>
                <w:sz w:val="17"/>
              </w:rPr>
              <w:t>Economic sectors</w:t>
            </w:r>
          </w:p>
        </w:tc>
        <w:tc>
          <w:tcPr>
            <w:tcW w:type="dxa" w:w="2551"/>
          </w:tcPr>
          <w:p>
            <w:r/>
            <w:r>
              <w:rPr>
                <w:color w:val="26262A"/>
                <w:sz w:val="17"/>
              </w:rPr>
              <w:t>21 sectors × 4 scenarios</w:t>
            </w:r>
          </w:p>
        </w:tc>
        <w:tc>
          <w:tcPr>
            <w:tcW w:type="dxa" w:w="2551"/>
          </w:tcPr>
          <w:p>
            <w:r/>
            <w:r>
              <w:rPr>
                <w:color w:val="26262A"/>
                <w:sz w:val="17"/>
              </w:rPr>
              <w:t>Displacement rate d(t; i, s)</w:t>
            </w:r>
          </w:p>
        </w:tc>
      </w:tr>
    </w:tbl>
    <w:p/>
    <w:p>
      <w:r>
        <w:t>Each layer feeds into the next. Task scores aggregate into job-level automatability; job scores combine with industry-level frictions to produce displacement estimates. This bottom-up architecture ensures that the macro forecast is grounded in the specific work content of each occupation, not broad assumptions about industry vulnerability.</w:t>
      </w:r>
    </w:p>
    <w:p>
      <w:r>
        <w:br w:type="page"/>
      </w:r>
    </w:p>
    <w:p>
      <w:pPr>
        <w:pStyle w:val="Heading1"/>
      </w:pPr>
      <w:r>
        <w:t>4.  Layer 1 — Task-Level Automatability</w:t>
      </w:r>
    </w:p>
    <w:p>
      <w:r>
        <w:t>The foundation of the model is a task-by-task assessment of AI capability. Each of the 5,383 tasks in the O*NET database is scored on a single question:</w:t>
      </w:r>
    </w:p>
    <w:p>
      <w:pPr>
        <w:spacing w:before="160" w:after="160"/>
        <w:jc w:val="center"/>
      </w:pPr>
      <w:r>
        <w:rPr>
          <w:i/>
          <w:color w:val="374151"/>
          <w:sz w:val="20"/>
        </w:rPr>
        <w:t>"What fraction of this task's value-add can a frontier AI model deliver</w:t>
        <w:br/>
        <w:t>autonomously, at required quality and economic viability, by October 2027?"</w:t>
      </w:r>
    </w:p>
    <w:p>
      <w:pPr>
        <w:pStyle w:val="Heading2"/>
      </w:pPr>
      <w:r>
        <w:t>Autonomy Fraction Scale</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0F1E3E"/>
          </w:tcPr>
          <w:p>
            <w:pPr>
              <w:jc w:val="center"/>
            </w:pPr>
            <w:r/>
            <w:r>
              <w:rPr>
                <w:b/>
                <w:color w:val="FFFFFF"/>
                <w:sz w:val="18"/>
              </w:rPr>
              <w:t>Score</w:t>
            </w:r>
          </w:p>
        </w:tc>
        <w:tc>
          <w:tcPr>
            <w:tcW w:type="dxa" w:w="1701"/>
            <w:shd w:fill="0F1E3E"/>
          </w:tcPr>
          <w:p>
            <w:pPr>
              <w:jc w:val="center"/>
            </w:pPr>
            <w:r/>
            <w:r>
              <w:rPr>
                <w:b/>
                <w:color w:val="FFFFFF"/>
                <w:sz w:val="18"/>
              </w:rPr>
              <w:t>Label</w:t>
            </w:r>
          </w:p>
        </w:tc>
        <w:tc>
          <w:tcPr>
            <w:tcW w:type="dxa" w:w="6520"/>
            <w:shd w:fill="0F1E3E"/>
          </w:tcPr>
          <w:p>
            <w:pPr>
              <w:jc w:val="center"/>
            </w:pPr>
            <w:r/>
            <w:r>
              <w:rPr>
                <w:b/>
                <w:color w:val="FFFFFF"/>
                <w:sz w:val="18"/>
              </w:rPr>
              <w:t>Interpretation</w:t>
            </w:r>
          </w:p>
        </w:tc>
      </w:tr>
      <w:tr>
        <w:tc>
          <w:tcPr>
            <w:tcW w:type="dxa" w:w="850"/>
          </w:tcPr>
          <w:p>
            <w:r/>
            <w:r>
              <w:rPr>
                <w:color w:val="26262A"/>
                <w:sz w:val="17"/>
              </w:rPr>
              <w:t>0.00</w:t>
            </w:r>
          </w:p>
        </w:tc>
        <w:tc>
          <w:tcPr>
            <w:tcW w:type="dxa" w:w="1701"/>
          </w:tcPr>
          <w:p>
            <w:r/>
            <w:r>
              <w:rPr>
                <w:color w:val="26262A"/>
                <w:sz w:val="17"/>
              </w:rPr>
              <w:t>AI cannot perform</w:t>
            </w:r>
          </w:p>
        </w:tc>
        <w:tc>
          <w:tcPr>
            <w:tcW w:type="dxa" w:w="6520"/>
          </w:tcPr>
          <w:p>
            <w:r/>
            <w:r>
              <w:rPr>
                <w:color w:val="26262A"/>
                <w:sz w:val="17"/>
              </w:rPr>
              <w:t>Physical tasks, genuine human-only relationships — no path to automation</w:t>
            </w:r>
          </w:p>
        </w:tc>
      </w:tr>
      <w:tr>
        <w:tc>
          <w:tcPr>
            <w:tcW w:type="dxa" w:w="850"/>
            <w:shd w:fill="F5F7FB"/>
          </w:tcPr>
          <w:p>
            <w:r/>
            <w:r>
              <w:rPr>
                <w:color w:val="26262A"/>
                <w:sz w:val="17"/>
              </w:rPr>
              <w:t>0.25</w:t>
            </w:r>
          </w:p>
        </w:tc>
        <w:tc>
          <w:tcPr>
            <w:tcW w:type="dxa" w:w="1701"/>
            <w:shd w:fill="F5F7FB"/>
          </w:tcPr>
          <w:p>
            <w:r/>
            <w:r>
              <w:rPr>
                <w:color w:val="26262A"/>
                <w:sz w:val="17"/>
              </w:rPr>
              <w:t>AI assists</w:t>
            </w:r>
          </w:p>
        </w:tc>
        <w:tc>
          <w:tcPr>
            <w:tcW w:type="dxa" w:w="6520"/>
            <w:shd w:fill="F5F7FB"/>
          </w:tcPr>
          <w:p>
            <w:r/>
            <w:r>
              <w:rPr>
                <w:color w:val="26262A"/>
                <w:sz w:val="17"/>
              </w:rPr>
              <w:t>AI handles routine subtasks; human does core judgment (e.g., AI drafts summaries, human interprets)</w:t>
            </w:r>
          </w:p>
        </w:tc>
      </w:tr>
      <w:tr>
        <w:tc>
          <w:tcPr>
            <w:tcW w:type="dxa" w:w="850"/>
          </w:tcPr>
          <w:p>
            <w:r/>
            <w:r>
              <w:rPr>
                <w:color w:val="26262A"/>
                <w:sz w:val="17"/>
              </w:rPr>
              <w:t>0.50</w:t>
            </w:r>
          </w:p>
        </w:tc>
        <w:tc>
          <w:tcPr>
            <w:tcW w:type="dxa" w:w="1701"/>
          </w:tcPr>
          <w:p>
            <w:r/>
            <w:r>
              <w:rPr>
                <w:color w:val="26262A"/>
                <w:sz w:val="17"/>
              </w:rPr>
              <w:t>Shared autonomy</w:t>
            </w:r>
          </w:p>
        </w:tc>
        <w:tc>
          <w:tcPr>
            <w:tcW w:type="dxa" w:w="6520"/>
          </w:tcPr>
          <w:p>
            <w:r/>
            <w:r>
              <w:rPr>
                <w:color w:val="26262A"/>
                <w:sz w:val="17"/>
              </w:rPr>
              <w:t>AI autonomously handles ~half of cases; complex cases need human oversight</w:t>
            </w:r>
          </w:p>
        </w:tc>
      </w:tr>
      <w:tr>
        <w:tc>
          <w:tcPr>
            <w:tcW w:type="dxa" w:w="850"/>
            <w:shd w:fill="F5F7FB"/>
          </w:tcPr>
          <w:p>
            <w:r/>
            <w:r>
              <w:rPr>
                <w:color w:val="26262A"/>
                <w:sz w:val="17"/>
              </w:rPr>
              <w:t>0.75</w:t>
            </w:r>
          </w:p>
        </w:tc>
        <w:tc>
          <w:tcPr>
            <w:tcW w:type="dxa" w:w="1701"/>
            <w:shd w:fill="F5F7FB"/>
          </w:tcPr>
          <w:p>
            <w:r/>
            <w:r>
              <w:rPr>
                <w:color w:val="26262A"/>
                <w:sz w:val="17"/>
              </w:rPr>
              <w:t>AI leads</w:t>
            </w:r>
          </w:p>
        </w:tc>
        <w:tc>
          <w:tcPr>
            <w:tcW w:type="dxa" w:w="6520"/>
            <w:shd w:fill="F5F7FB"/>
          </w:tcPr>
          <w:p>
            <w:r/>
            <w:r>
              <w:rPr>
                <w:color w:val="26262A"/>
                <w:sz w:val="17"/>
              </w:rPr>
              <w:t>AI performs in most cases; human needed for rare edge cases or final sign-off</w:t>
            </w:r>
          </w:p>
        </w:tc>
      </w:tr>
      <w:tr>
        <w:tc>
          <w:tcPr>
            <w:tcW w:type="dxa" w:w="850"/>
          </w:tcPr>
          <w:p>
            <w:r/>
            <w:r>
              <w:rPr>
                <w:color w:val="26262A"/>
                <w:sz w:val="17"/>
              </w:rPr>
              <w:t>1.00</w:t>
            </w:r>
          </w:p>
        </w:tc>
        <w:tc>
          <w:tcPr>
            <w:tcW w:type="dxa" w:w="1701"/>
          </w:tcPr>
          <w:p>
            <w:r/>
            <w:r>
              <w:rPr>
                <w:color w:val="26262A"/>
                <w:sz w:val="17"/>
              </w:rPr>
              <w:t>Fully autonomous</w:t>
            </w:r>
          </w:p>
        </w:tc>
        <w:tc>
          <w:tcPr>
            <w:tcW w:type="dxa" w:w="6520"/>
          </w:tcPr>
          <w:p>
            <w:r/>
            <w:r>
              <w:rPr>
                <w:color w:val="26262A"/>
                <w:sz w:val="17"/>
              </w:rPr>
              <w:t>AI fully autonomous, no human involvement needed across essentially all cases</w:t>
            </w:r>
          </w:p>
        </w:tc>
      </w:tr>
    </w:tbl>
    <w:p>
      <w:pPr>
        <w:pStyle w:val="Heading2"/>
      </w:pPr>
      <w:r>
        <w:t>Two Technology Scenarios</w:t>
      </w:r>
    </w:p>
    <w:p>
      <w:r>
        <w:t>Every task is scored twice — once under each technology scenario. The two scenarios bound the plausible range of frontier AI capability by October 2027:</w:t>
      </w:r>
    </w:p>
    <w:p>
      <w:pPr>
        <w:pStyle w:val="Heading3"/>
      </w:pPr>
      <w:r>
        <w:t>Moderate Capability Gains</w:t>
      </w:r>
    </w:p>
    <w:p>
      <w:r>
        <w:t>Steady compounding of current approaches with no architectural breakthroughs. Context windows reach ~1.5M tokens (reliable to ~400K). AI agents operate in 4–6 hour autonomous blocks on 5–8 step workflows. Tool use improves for familiar APIs. Token costs drop ~3×. The model often doesn't know when it's wrong.</w:t>
      </w:r>
    </w:p>
    <w:p>
      <w:pPr>
        <w:pStyle w:val="Heading3"/>
      </w:pPr>
      <w:r>
        <w:t>Significant Capability Gains</w:t>
      </w:r>
    </w:p>
    <w:p>
      <w:r>
        <w:t>One or more step-change breakthroughs beyond the current trajectory. Context windows reach ~2–3M tokens (reliable to ~1M). Agents operate in 6–10 hour blocks on 12–15 step workflows across unfamiliar systems. Reinforcement learning expands to semi-verifiable professional domains (finance, law, medicine). Parallel agent coordination becomes reliable. Token costs drop ~10×. Better error detection and more consistent outputs.</w:t>
      </w:r>
    </w:p>
    <w:p>
      <w:pPr>
        <w:pStyle w:val="Heading3"/>
      </w:pPr>
      <w:r>
        <w:t>Universal Limitations</w:t>
      </w:r>
    </w:p>
    <w:p>
      <w:r>
        <w:t>Certain AI limitations bind equally in both scenarios, meaning tasks constrained by them receive identical scores regardless of the technology trajectory:</w:t>
      </w:r>
    </w:p>
    <w:p>
      <w:pPr>
        <w:pStyle w:val="ListBullet"/>
      </w:pPr>
      <w:r>
        <w:t>No physical-world embodiment (all physical tasks score 0.00)</w:t>
      </w:r>
    </w:p>
    <w:p>
      <w:pPr>
        <w:pStyle w:val="ListBullet"/>
      </w:pPr>
      <w:r>
        <w:t>No self-recursive model improvement or continual learning from deployment</w:t>
      </w:r>
    </w:p>
    <w:p>
      <w:pPr>
        <w:pStyle w:val="ListBullet"/>
      </w:pPr>
      <w:r>
        <w:t>No accurate uncertainty calibration or robust causal reasoning over novel mechanisms</w:t>
      </w:r>
    </w:p>
    <w:p>
      <w:pPr>
        <w:pStyle w:val="ListBullet"/>
      </w:pPr>
      <w:r>
        <w:t>No genuine theory of mind in adversarial settings</w:t>
      </w:r>
    </w:p>
    <w:p>
      <w:pPr>
        <w:pStyle w:val="ListBullet"/>
      </w:pPr>
      <w:r>
        <w:t>Self-correction has a ceiling — catches surface errors, not subtle framing errors</w:t>
      </w:r>
    </w:p>
    <w:p>
      <w:pPr>
        <w:pStyle w:val="Heading2"/>
      </w:pPr>
      <w:r>
        <w:t>Task Scoring Pipeline</w:t>
      </w:r>
    </w:p>
    <w:p>
      <w:r>
        <w:t>Task-level scoring is performed by a multi-agent pipeline using Claude Opus 4.6 at temperature 0.2, with structured quality controls:</w:t>
      </w:r>
    </w:p>
    <w:p>
      <w:r>
        <w:rPr>
          <w:b/>
        </w:rPr>
        <w:t xml:space="preserve">Calibration Agent:  </w:t>
      </w:r>
      <w:r>
        <w:t>Scores ~15 anchor tasks spanning the full difficulty range, with detailed chain-of-thought reasoning. These anchors serve as alignment exemplars.</w:t>
      </w:r>
    </w:p>
    <w:p>
      <w:r>
        <w:rPr>
          <w:b/>
        </w:rPr>
        <w:t xml:space="preserve">Batch Scoring Agent:  </w:t>
      </w:r>
      <w:r>
        <w:t>Processes tasks in batches of 25–30, with calibration anchors embedded in every prompt. Each task receives an autonomy score for both scenarios.</w:t>
      </w:r>
    </w:p>
    <w:p>
      <w:r>
        <w:rPr>
          <w:b/>
        </w:rPr>
        <w:t xml:space="preserve">Drift Auditor Agent:  </w:t>
      </w:r>
      <w:r>
        <w:t>Reviews all scores for internal inconsistencies, compares against calibration anchors, and re-scores any flagged tasks to maintain coherence.</w:t>
      </w:r>
    </w:p>
    <w:p>
      <w:r>
        <w:br w:type="page"/>
      </w:r>
    </w:p>
    <w:p>
      <w:pPr>
        <w:pStyle w:val="Heading1"/>
      </w:pPr>
      <w:r>
        <w:t>5.  Layer 2 — Job-Level Automatability</w:t>
      </w:r>
    </w:p>
    <w:p>
      <w:r>
        <w:t>Task scores aggregate into a single automatability score per occupation. This is not a simple average — it accounts for the structure of work within each job.</w:t>
      </w:r>
    </w:p>
    <w:p>
      <w:pPr>
        <w:pStyle w:val="Heading2"/>
      </w:pPr>
      <w:r>
        <w:t>The Job-Level Formula</w:t>
      </w:r>
    </w:p>
    <w:p>
      <w:pPr>
        <w:spacing w:before="200" w:after="200"/>
        <w:jc w:val="center"/>
      </w:pPr>
      <w:r>
        <w:rPr>
          <w:rFonts w:ascii="Consolas" w:hAnsi="Consolas"/>
          <w:b/>
          <w:color w:val="0F1E3E"/>
          <w:sz w:val="22"/>
        </w:rPr>
        <w:t>a(j, s)  =  tc_adj(j, s)  ×  w(j)</w:t>
      </w:r>
    </w:p>
    <w:p>
      <w:r>
        <w:t>Then transformed through a sigmoid:</w:t>
      </w:r>
    </w:p>
    <w:p>
      <w:pPr>
        <w:spacing w:before="160" w:after="160"/>
        <w:jc w:val="center"/>
      </w:pPr>
      <w:r>
        <w:rPr>
          <w:rFonts w:ascii="Consolas" w:hAnsi="Consolas"/>
          <w:b/>
          <w:color w:val="0F1E3E"/>
          <w:sz w:val="20"/>
        </w:rPr>
        <w:t>S(a)  =  a^k  /  (a^k + (1-a)^k)        where k = 0.8</w:t>
      </w:r>
    </w:p>
    <w:p>
      <w:pPr>
        <w:pStyle w:val="Heading2"/>
      </w:pPr>
      <w:r>
        <w:t>Component 1: Task-Coverage Depth, Adjusted (tc_adj) — Scenario-Dependent</w:t>
      </w:r>
    </w:p>
    <w:p>
      <w:r>
        <w:t>This component is computed programmatically from the task-level autonomy scores. It measures how deeply AI can penetrate a job's task portfolio:</w:t>
      </w:r>
    </w:p>
    <w:p>
      <w:pPr>
        <w:spacing w:before="160" w:after="160"/>
        <w:jc w:val="center"/>
      </w:pPr>
      <w:r>
        <w:rPr>
          <w:rFonts w:ascii="Consolas" w:hAnsi="Consolas"/>
          <w:b/>
          <w:color w:val="0F1E3E"/>
          <w:sz w:val="20"/>
        </w:rPr>
        <w:t>tc_adj  =  tc_mean  ×  (1 - z)^0.5  ×  min(1, h / tc)</w:t>
      </w:r>
    </w:p>
    <w:p>
      <w:r>
        <w:rPr>
          <w:rFonts w:ascii="Consolas" w:hAnsi="Consolas"/>
          <w:b/>
          <w:sz w:val="18"/>
        </w:rPr>
        <w:t>tc_mean</w:t>
      </w:r>
      <w:r>
        <w:t xml:space="preserve">  —  Importance-weighted average of task autonomy scores (weighted by Time_Share_Pct)</w:t>
      </w:r>
    </w:p>
    <w:p>
      <w:r>
        <w:rPr>
          <w:rFonts w:ascii="Consolas" w:hAnsi="Consolas"/>
          <w:b/>
          <w:sz w:val="18"/>
        </w:rPr>
        <w:t>z</w:t>
      </w:r>
      <w:r>
        <w:t xml:space="preserve">  —  Time share of zero-autonomy tasks. The square-root penalty (1-z)^0.5 means a job with 40% non-automatable work is penalized, but not zeroed out</w:t>
      </w:r>
    </w:p>
    <w:p>
      <w:r>
        <w:rPr>
          <w:rFonts w:ascii="Consolas" w:hAnsi="Consolas"/>
          <w:b/>
          <w:sz w:val="18"/>
        </w:rPr>
        <w:t>h / tc</w:t>
      </w:r>
      <w:r>
        <w:t xml:space="preserve">  —  Ratio of high-autonomy task share (scores ≥ 0.65) to overall task coverage. Caps inflated scores from jobs with many moderately-automatable but few deeply-automatable tasks</w:t>
      </w:r>
    </w:p>
    <w:p>
      <w:r>
        <w:t>This adjusted metric prevents a common pitfall: a job where every task is 30% automatable should not score the same as a job where half the tasks are 60% automatable. The h/tc cap distinguishes shallow breadth from deep automation potential.</w:t>
      </w:r>
    </w:p>
    <w:p>
      <w:pPr>
        <w:pStyle w:val="Heading2"/>
      </w:pPr>
      <w:r>
        <w:t>Component 2: Workflow Separability (w) — Scenario-Independent</w:t>
      </w:r>
    </w:p>
    <w:p>
      <w:r>
        <w:t>Even if many of a job's tasks are technically automatable, displacement requires that those tasks can be separated from the rest of the workflow. Workflow separability captures this structural property — it is a feature of how work is organized, not of AI capability, and therefore does not change across scenarios.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F1E3E"/>
          </w:tcPr>
          <w:p>
            <w:pPr>
              <w:jc w:val="center"/>
            </w:pPr>
            <w:r/>
            <w:r>
              <w:rPr>
                <w:b/>
                <w:color w:val="FFFFFF"/>
                <w:sz w:val="18"/>
              </w:rPr>
              <w:t>Score</w:t>
            </w:r>
          </w:p>
        </w:tc>
        <w:tc>
          <w:tcPr>
            <w:tcW w:type="dxa" w:w="1701"/>
            <w:shd w:fill="0F1E3E"/>
          </w:tcPr>
          <w:p>
            <w:pPr>
              <w:jc w:val="center"/>
            </w:pPr>
            <w:r/>
            <w:r>
              <w:rPr>
                <w:b/>
                <w:color w:val="FFFFFF"/>
                <w:sz w:val="18"/>
              </w:rPr>
              <w:t>Label</w:t>
            </w:r>
          </w:p>
        </w:tc>
        <w:tc>
          <w:tcPr>
            <w:tcW w:type="dxa" w:w="3118"/>
            <w:shd w:fill="0F1E3E"/>
          </w:tcPr>
          <w:p>
            <w:pPr>
              <w:jc w:val="center"/>
            </w:pPr>
            <w:r/>
            <w:r>
              <w:rPr>
                <w:b/>
                <w:color w:val="FFFFFF"/>
                <w:sz w:val="18"/>
              </w:rPr>
              <w:t>Description</w:t>
            </w:r>
          </w:p>
        </w:tc>
        <w:tc>
          <w:tcPr>
            <w:tcW w:type="dxa" w:w="3402"/>
            <w:shd w:fill="0F1E3E"/>
          </w:tcPr>
          <w:p>
            <w:pPr>
              <w:jc w:val="center"/>
            </w:pPr>
            <w:r/>
            <w:r>
              <w:rPr>
                <w:b/>
                <w:color w:val="FFFFFF"/>
                <w:sz w:val="18"/>
              </w:rPr>
              <w:t>Exemplars</w:t>
            </w:r>
          </w:p>
        </w:tc>
      </w:tr>
      <w:tr>
        <w:tc>
          <w:tcPr>
            <w:tcW w:type="dxa" w:w="850"/>
          </w:tcPr>
          <w:p>
            <w:r/>
            <w:r>
              <w:rPr>
                <w:color w:val="26262A"/>
                <w:sz w:val="17"/>
              </w:rPr>
              <w:t>1.00</w:t>
            </w:r>
          </w:p>
        </w:tc>
        <w:tc>
          <w:tcPr>
            <w:tcW w:type="dxa" w:w="1701"/>
          </w:tcPr>
          <w:p>
            <w:r/>
            <w:r>
              <w:rPr>
                <w:color w:val="26262A"/>
                <w:sz w:val="17"/>
              </w:rPr>
              <w:t>Fully separable</w:t>
            </w:r>
          </w:p>
        </w:tc>
        <w:tc>
          <w:tcPr>
            <w:tcW w:type="dxa" w:w="3118"/>
          </w:tcPr>
          <w:p>
            <w:r/>
            <w:r>
              <w:rPr>
                <w:color w:val="26262A"/>
                <w:sz w:val="17"/>
              </w:rPr>
              <w:t>Independent tasks; can offload without disruption</w:t>
            </w:r>
          </w:p>
        </w:tc>
        <w:tc>
          <w:tcPr>
            <w:tcW w:type="dxa" w:w="3402"/>
          </w:tcPr>
          <w:p>
            <w:r/>
            <w:r>
              <w:rPr>
                <w:color w:val="26262A"/>
                <w:sz w:val="17"/>
              </w:rPr>
              <w:t>Data entry keyers, court reporters, financial clerks</w:t>
            </w:r>
          </w:p>
        </w:tc>
      </w:tr>
      <w:tr>
        <w:tc>
          <w:tcPr>
            <w:tcW w:type="dxa" w:w="850"/>
            <w:shd w:fill="F5F7FB"/>
          </w:tcPr>
          <w:p>
            <w:r/>
            <w:r>
              <w:rPr>
                <w:color w:val="26262A"/>
                <w:sz w:val="17"/>
              </w:rPr>
              <w:t>0.75</w:t>
            </w:r>
          </w:p>
        </w:tc>
        <w:tc>
          <w:tcPr>
            <w:tcW w:type="dxa" w:w="1701"/>
            <w:shd w:fill="F5F7FB"/>
          </w:tcPr>
          <w:p>
            <w:r/>
            <w:r>
              <w:rPr>
                <w:color w:val="26262A"/>
                <w:sz w:val="17"/>
              </w:rPr>
              <w:t>Mostly separable</w:t>
            </w:r>
          </w:p>
        </w:tc>
        <w:tc>
          <w:tcPr>
            <w:tcW w:type="dxa" w:w="3118"/>
            <w:shd w:fill="F5F7FB"/>
          </w:tcPr>
          <w:p>
            <w:r/>
            <w:r>
              <w:rPr>
                <w:color w:val="26262A"/>
                <w:sz w:val="17"/>
              </w:rPr>
              <w:t>Natural handoff boundaries; minimal coordination</w:t>
            </w:r>
          </w:p>
        </w:tc>
        <w:tc>
          <w:tcPr>
            <w:tcW w:type="dxa" w:w="3402"/>
            <w:shd w:fill="F5F7FB"/>
          </w:tcPr>
          <w:p>
            <w:r/>
            <w:r>
              <w:rPr>
                <w:color w:val="26262A"/>
                <w:sz w:val="17"/>
              </w:rPr>
              <w:t>Paralegals, insurance underwriters, technical writers</w:t>
            </w:r>
          </w:p>
        </w:tc>
      </w:tr>
      <w:tr>
        <w:tc>
          <w:tcPr>
            <w:tcW w:type="dxa" w:w="850"/>
          </w:tcPr>
          <w:p>
            <w:r/>
            <w:r>
              <w:rPr>
                <w:color w:val="26262A"/>
                <w:sz w:val="17"/>
              </w:rPr>
              <w:t>0.50</w:t>
            </w:r>
          </w:p>
        </w:tc>
        <w:tc>
          <w:tcPr>
            <w:tcW w:type="dxa" w:w="1701"/>
          </w:tcPr>
          <w:p>
            <w:r/>
            <w:r>
              <w:rPr>
                <w:color w:val="26262A"/>
                <w:sz w:val="17"/>
              </w:rPr>
              <w:t>Partially separable</w:t>
            </w:r>
          </w:p>
        </w:tc>
        <w:tc>
          <w:tcPr>
            <w:tcW w:type="dxa" w:w="3118"/>
          </w:tcPr>
          <w:p>
            <w:r/>
            <w:r>
              <w:rPr>
                <w:color w:val="26262A"/>
                <w:sz w:val="17"/>
              </w:rPr>
              <w:t>Tasks interleaved throughout workday; redesign needed</w:t>
            </w:r>
          </w:p>
        </w:tc>
        <w:tc>
          <w:tcPr>
            <w:tcW w:type="dxa" w:w="3402"/>
          </w:tcPr>
          <w:p>
            <w:r/>
            <w:r>
              <w:rPr>
                <w:color w:val="26262A"/>
                <w:sz w:val="17"/>
              </w:rPr>
              <w:t>Nurses, general managers, architects</w:t>
            </w:r>
          </w:p>
        </w:tc>
      </w:tr>
      <w:tr>
        <w:tc>
          <w:tcPr>
            <w:tcW w:type="dxa" w:w="850"/>
            <w:shd w:fill="F5F7FB"/>
          </w:tcPr>
          <w:p>
            <w:r/>
            <w:r>
              <w:rPr>
                <w:color w:val="26262A"/>
                <w:sz w:val="17"/>
              </w:rPr>
              <w:t>0.25</w:t>
            </w:r>
          </w:p>
        </w:tc>
        <w:tc>
          <w:tcPr>
            <w:tcW w:type="dxa" w:w="1701"/>
            <w:shd w:fill="F5F7FB"/>
          </w:tcPr>
          <w:p>
            <w:r/>
            <w:r>
              <w:rPr>
                <w:color w:val="26262A"/>
                <w:sz w:val="17"/>
              </w:rPr>
              <w:t>Minimally separable</w:t>
            </w:r>
          </w:p>
        </w:tc>
        <w:tc>
          <w:tcPr>
            <w:tcW w:type="dxa" w:w="3118"/>
            <w:shd w:fill="F5F7FB"/>
          </w:tcPr>
          <w:p>
            <w:r/>
            <w:r>
              <w:rPr>
                <w:color w:val="26262A"/>
                <w:sz w:val="17"/>
              </w:rPr>
              <w:t>Continuous flow; cannot disaggregate</w:t>
            </w:r>
          </w:p>
        </w:tc>
        <w:tc>
          <w:tcPr>
            <w:tcW w:type="dxa" w:w="3402"/>
            <w:shd w:fill="F5F7FB"/>
          </w:tcPr>
          <w:p>
            <w:r/>
            <w:r>
              <w:rPr>
                <w:color w:val="26262A"/>
                <w:sz w:val="17"/>
              </w:rPr>
              <w:t>Physicians, psychologists, clergy, dentists</w:t>
            </w:r>
          </w:p>
        </w:tc>
      </w:tr>
    </w:tbl>
    <w:p/>
    <w:p>
      <w:r>
        <w:t>Workflow separability is scored by LLM agents informed by structured job profiles that include task distributions, work activity patterns, and workflow architecture indicators. The diagnostic questions are: Do automatable tasks cluster in time? What is the handoff friction? How tightly coupled is information flow between tasks?</w:t>
      </w:r>
    </w:p>
    <w:p>
      <w:pPr>
        <w:pStyle w:val="Heading2"/>
      </w:pPr>
      <w:r>
        <w:t>The Sigmoid Transform</w:t>
      </w:r>
    </w:p>
    <w:p>
      <w:r>
        <w:t>The raw automatability score a = tc_adj × w is passed through a sigmoid with k = 0.8. This is deliberately softer than a standard logistic — it preserves meaningful signal across a wider range while compressing extreme values: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0F1E3E"/>
          </w:tcPr>
          <w:p>
            <w:pPr>
              <w:jc w:val="center"/>
            </w:pPr>
            <w:r/>
            <w:r>
              <w:rPr>
                <w:b/>
                <w:color w:val="FFFFFF"/>
                <w:sz w:val="18"/>
              </w:rPr>
              <w:t>Raw Score (a)</w:t>
            </w:r>
          </w:p>
        </w:tc>
        <w:tc>
          <w:tcPr>
            <w:tcW w:type="dxa" w:w="1984"/>
            <w:shd w:fill="0F1E3E"/>
          </w:tcPr>
          <w:p>
            <w:pPr>
              <w:jc w:val="center"/>
            </w:pPr>
            <w:r/>
            <w:r>
              <w:rPr>
                <w:b/>
                <w:color w:val="FFFFFF"/>
                <w:sz w:val="18"/>
              </w:rPr>
              <w:t>Transformed S(a)</w:t>
            </w:r>
          </w:p>
        </w:tc>
        <w:tc>
          <w:tcPr>
            <w:tcW w:type="dxa" w:w="5102"/>
            <w:shd w:fill="0F1E3E"/>
          </w:tcPr>
          <w:p>
            <w:pPr>
              <w:jc w:val="center"/>
            </w:pPr>
            <w:r/>
            <w:r>
              <w:rPr>
                <w:b/>
                <w:color w:val="FFFFFF"/>
                <w:sz w:val="18"/>
              </w:rPr>
              <w:t>Effect</w:t>
            </w:r>
          </w:p>
        </w:tc>
      </w:tr>
      <w:tr>
        <w:tc>
          <w:tcPr>
            <w:tcW w:type="dxa" w:w="1984"/>
          </w:tcPr>
          <w:p>
            <w:r/>
            <w:r>
              <w:rPr>
                <w:color w:val="26262A"/>
                <w:sz w:val="17"/>
              </w:rPr>
              <w:t>0.10</w:t>
            </w:r>
          </w:p>
        </w:tc>
        <w:tc>
          <w:tcPr>
            <w:tcW w:type="dxa" w:w="1984"/>
          </w:tcPr>
          <w:p>
            <w:r/>
            <w:r>
              <w:rPr>
                <w:color w:val="26262A"/>
                <w:sz w:val="17"/>
              </w:rPr>
              <w:t>0.07</w:t>
            </w:r>
          </w:p>
        </w:tc>
        <w:tc>
          <w:tcPr>
            <w:tcW w:type="dxa" w:w="5102"/>
          </w:tcPr>
          <w:p>
            <w:r/>
            <w:r>
              <w:rPr>
                <w:color w:val="26262A"/>
                <w:sz w:val="17"/>
              </w:rPr>
              <w:t>Low automatability compressed further</w:t>
            </w:r>
          </w:p>
        </w:tc>
      </w:tr>
      <w:tr>
        <w:tc>
          <w:tcPr>
            <w:tcW w:type="dxa" w:w="1984"/>
            <w:shd w:fill="F5F7FB"/>
          </w:tcPr>
          <w:p>
            <w:r/>
            <w:r>
              <w:rPr>
                <w:color w:val="26262A"/>
                <w:sz w:val="17"/>
              </w:rPr>
              <w:t>0.30</w:t>
            </w:r>
          </w:p>
        </w:tc>
        <w:tc>
          <w:tcPr>
            <w:tcW w:type="dxa" w:w="1984"/>
            <w:shd w:fill="F5F7FB"/>
          </w:tcPr>
          <w:p>
            <w:r/>
            <w:r>
              <w:rPr>
                <w:color w:val="26262A"/>
                <w:sz w:val="17"/>
              </w:rPr>
              <w:t>0.26</w:t>
            </w:r>
          </w:p>
        </w:tc>
        <w:tc>
          <w:tcPr>
            <w:tcW w:type="dxa" w:w="5102"/>
            <w:shd w:fill="F5F7FB"/>
          </w:tcPr>
          <w:p>
            <w:r/>
            <w:r>
              <w:rPr>
                <w:color w:val="26262A"/>
                <w:sz w:val="17"/>
              </w:rPr>
              <w:t>Modest reduction</w:t>
            </w:r>
          </w:p>
        </w:tc>
      </w:tr>
      <w:tr>
        <w:tc>
          <w:tcPr>
            <w:tcW w:type="dxa" w:w="1984"/>
          </w:tcPr>
          <w:p>
            <w:r/>
            <w:r>
              <w:rPr>
                <w:color w:val="26262A"/>
                <w:sz w:val="17"/>
              </w:rPr>
              <w:t>0.50</w:t>
            </w:r>
          </w:p>
        </w:tc>
        <w:tc>
          <w:tcPr>
            <w:tcW w:type="dxa" w:w="1984"/>
          </w:tcPr>
          <w:p>
            <w:r/>
            <w:r>
              <w:rPr>
                <w:color w:val="26262A"/>
                <w:sz w:val="17"/>
              </w:rPr>
              <w:t>0.50</w:t>
            </w:r>
          </w:p>
        </w:tc>
        <w:tc>
          <w:tcPr>
            <w:tcW w:type="dxa" w:w="5102"/>
          </w:tcPr>
          <w:p>
            <w:r/>
            <w:r>
              <w:rPr>
                <w:color w:val="26262A"/>
                <w:sz w:val="17"/>
              </w:rPr>
              <w:t>Midpoint unchanged</w:t>
            </w:r>
          </w:p>
        </w:tc>
      </w:tr>
      <w:tr>
        <w:tc>
          <w:tcPr>
            <w:tcW w:type="dxa" w:w="1984"/>
            <w:shd w:fill="F5F7FB"/>
          </w:tcPr>
          <w:p>
            <w:r/>
            <w:r>
              <w:rPr>
                <w:color w:val="26262A"/>
                <w:sz w:val="17"/>
              </w:rPr>
              <w:t>0.70</w:t>
            </w:r>
          </w:p>
        </w:tc>
        <w:tc>
          <w:tcPr>
            <w:tcW w:type="dxa" w:w="1984"/>
            <w:shd w:fill="F5F7FB"/>
          </w:tcPr>
          <w:p>
            <w:r/>
            <w:r>
              <w:rPr>
                <w:color w:val="26262A"/>
                <w:sz w:val="17"/>
              </w:rPr>
              <w:t>0.74</w:t>
            </w:r>
          </w:p>
        </w:tc>
        <w:tc>
          <w:tcPr>
            <w:tcW w:type="dxa" w:w="5102"/>
            <w:shd w:fill="F5F7FB"/>
          </w:tcPr>
          <w:p>
            <w:r/>
            <w:r>
              <w:rPr>
                <w:color w:val="26262A"/>
                <w:sz w:val="17"/>
              </w:rPr>
              <w:t>Modest boost</w:t>
            </w:r>
          </w:p>
        </w:tc>
      </w:tr>
      <w:tr>
        <w:tc>
          <w:tcPr>
            <w:tcW w:type="dxa" w:w="1984"/>
          </w:tcPr>
          <w:p>
            <w:r/>
            <w:r>
              <w:rPr>
                <w:color w:val="26262A"/>
                <w:sz w:val="17"/>
              </w:rPr>
              <w:t>0.90</w:t>
            </w:r>
          </w:p>
        </w:tc>
        <w:tc>
          <w:tcPr>
            <w:tcW w:type="dxa" w:w="1984"/>
          </w:tcPr>
          <w:p>
            <w:r/>
            <w:r>
              <w:rPr>
                <w:color w:val="26262A"/>
                <w:sz w:val="17"/>
              </w:rPr>
              <w:t>0.93</w:t>
            </w:r>
          </w:p>
        </w:tc>
        <w:tc>
          <w:tcPr>
            <w:tcW w:type="dxa" w:w="5102"/>
          </w:tcPr>
          <w:p>
            <w:r/>
            <w:r>
              <w:rPr>
                <w:color w:val="26262A"/>
                <w:sz w:val="17"/>
              </w:rPr>
              <w:t>High automatability compressed slightly</w:t>
            </w:r>
          </w:p>
        </w:tc>
      </w:tr>
    </w:tbl>
    <w:p>
      <w:pPr>
        <w:pStyle w:val="Heading2"/>
      </w:pPr>
      <w:r>
        <w:t>Job-Level Scoring Pipeline</w:t>
      </w:r>
    </w:p>
    <w:p>
      <w:r>
        <w:rPr>
          <w:b/>
        </w:rPr>
        <w:t xml:space="preserve">Phase 0 — Profile Extraction.  </w:t>
      </w:r>
      <w:r>
        <w:t>Structured occupation profiles are extracted from the workbook: SOC code, title, sector, employment, wage, task statistics, Generalized Work Activity distributions, and construct-specific features (interpersonal share, digital share, judgment share, task heterogeneity).</w:t>
      </w:r>
    </w:p>
    <w:p>
      <w:r>
        <w:rPr>
          <w:b/>
        </w:rPr>
        <w:t xml:space="preserve">Phase 1 — Calibration.  </w:t>
      </w:r>
      <w:r>
        <w:t>30 boundary-case occupations are scored with full chain-of-thought reasoning to produce anchor exemplars. These span the full range of each variable and must complete before batch scoring begins.</w:t>
      </w:r>
    </w:p>
    <w:p>
      <w:r>
        <w:rPr>
          <w:b/>
        </w:rPr>
        <w:t xml:space="preserve">Phase 2 — Batch Scoring.  </w:t>
      </w:r>
      <w:r>
        <w:t>462 occupations are scored in batches with calibration anchors embedded in every prompt. Scoring is parallelized across 6 sector-grouped agents. Each agent produces independent reasoning blocks per variable to mitigate halo effects.</w:t>
      </w:r>
    </w:p>
    <w:p>
      <w:r>
        <w:rPr>
          <w:b/>
        </w:rPr>
        <w:t xml:space="preserve">Phase 3 — Audit.  </w:t>
      </w:r>
      <w:r>
        <w:t>Programmatic checks flag distribution skew (&gt;35% at one anchor), high cross-variable correlation (&gt;0.80), SOC-group incoherence (within-group σ &gt; 0.40), and logical inconsistencies. Flagged jobs (~10–15%) are re-scored by an LLM auditor at temperature 0.1.</w:t>
      </w:r>
    </w:p>
    <w:p>
      <w:r>
        <w:rPr>
          <w:b/>
        </w:rPr>
        <w:t xml:space="preserve">Phase 4 — Reliability Verification.  </w:t>
      </w:r>
      <w:r>
        <w:t>A stratified 10% sample (46 occupations) is independently re-scored. Agreement is measured via weighted quadratic kappa (threshold: κ ≥ 0.75), within-one-step agreement (≥ 90%), and exact agreement (≥ 65%).</w:t>
      </w:r>
    </w:p>
    <w:p>
      <w:r>
        <w:rPr>
          <w:b/>
        </w:rPr>
        <w:t xml:space="preserve">Phase 5 — Write-back.  </w:t>
      </w:r>
      <w:r>
        <w:t>Final validated scores are written to the master workbook for downstream computation.</w:t>
      </w:r>
    </w:p>
    <w:p>
      <w:r>
        <w:br w:type="page"/>
      </w:r>
    </w:p>
    <w:p>
      <w:pPr>
        <w:pStyle w:val="Heading1"/>
      </w:pPr>
      <w:r>
        <w:t>6.  Layer 3 — Industry-Level Frictions</w:t>
      </w:r>
    </w:p>
    <w:p>
      <w:r>
        <w:t>Job-level automatability tells us what AI can do. Industry-level variables determine what actually happens — how fast, how much, and against what barriers. Four industry variables gate the final displacement estimate.</w:t>
      </w:r>
    </w:p>
    <w:p>
      <w:pPr>
        <w:pStyle w:val="Heading2"/>
      </w:pPr>
      <w:r>
        <w:t>d_max — Displacement Ceiling</w:t>
      </w:r>
    </w:p>
    <w:p>
      <w:r>
        <w:rPr>
          <w:b/>
        </w:rPr>
        <w:t xml:space="preserve">What it captures: </w:t>
      </w:r>
      <w:r>
        <w:t>The maximum rate at which jobs can structurally disappear in a sector within 18 months, regardless of the cause. No industry has ever shed more than ~12% of employment per year, even during massive technological disruptions (typesetters, switchboard operators). d_max enforces this historical ceiling.</w:t>
      </w:r>
    </w:p>
    <w:p>
      <w:r>
        <w:rPr>
          <w:b/>
        </w:rPr>
        <w:t xml:space="preserve">How it's derived: </w:t>
      </w:r>
      <w:r>
        <w:t>From BLS JOLTS total separation rate (TSR) data — the monthly rate at which workers leave jobs through all channels (quits, layoffs, retirements). The monthly rate is compounded to an 18-month window:</w:t>
      </w:r>
    </w:p>
    <w:p>
      <w:pPr>
        <w:spacing w:before="160" w:after="160"/>
        <w:jc w:val="center"/>
      </w:pPr>
      <w:r>
        <w:rPr>
          <w:rFonts w:ascii="Consolas" w:hAnsi="Consolas"/>
          <w:b/>
          <w:color w:val="0F1E3E"/>
          <w:sz w:val="20"/>
        </w:rPr>
        <w:t>d_max  =  1 - (1 - monthly_rate / 100)^18</w:t>
      </w:r>
    </w:p>
    <w:p>
      <w:r>
        <w:rPr>
          <w:b/>
        </w:rPr>
        <w:t xml:space="preserve">Scenario-stable: </w:t>
      </w:r>
      <w:r>
        <w:t>d_max does not vary by scenario. The structural speed at which an industry's workforce can turn over is determined by labor market dynamics (contracts, notice periods, hiring cycles), not by AI capability.</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fill="0F1E3E"/>
          </w:tcPr>
          <w:p>
            <w:pPr>
              <w:jc w:val="center"/>
            </w:pPr>
            <w:r/>
            <w:r>
              <w:rPr>
                <w:b/>
                <w:color w:val="FFFFFF"/>
                <w:sz w:val="18"/>
              </w:rPr>
              <w:t>Sector</w:t>
            </w:r>
          </w:p>
        </w:tc>
        <w:tc>
          <w:tcPr>
            <w:tcW w:type="dxa" w:w="1701"/>
            <w:shd w:fill="0F1E3E"/>
          </w:tcPr>
          <w:p>
            <w:pPr>
              <w:jc w:val="center"/>
            </w:pPr>
            <w:r/>
            <w:r>
              <w:rPr>
                <w:b/>
                <w:color w:val="FFFFFF"/>
                <w:sz w:val="18"/>
              </w:rPr>
              <w:t>Monthly TSR (%)</w:t>
            </w:r>
          </w:p>
        </w:tc>
        <w:tc>
          <w:tcPr>
            <w:tcW w:type="dxa" w:w="1701"/>
            <w:shd w:fill="0F1E3E"/>
          </w:tcPr>
          <w:p>
            <w:pPr>
              <w:jc w:val="center"/>
            </w:pPr>
            <w:r/>
            <w:r>
              <w:rPr>
                <w:b/>
                <w:color w:val="FFFFFF"/>
                <w:sz w:val="18"/>
              </w:rPr>
              <w:t>d_max (18-mo)</w:t>
            </w:r>
          </w:p>
        </w:tc>
        <w:tc>
          <w:tcPr>
            <w:tcW w:type="dxa" w:w="3118"/>
            <w:shd w:fill="0F1E3E"/>
          </w:tcPr>
          <w:p>
            <w:pPr>
              <w:jc w:val="center"/>
            </w:pPr>
            <w:r/>
            <w:r>
              <w:rPr>
                <w:b/>
                <w:color w:val="FFFFFF"/>
                <w:sz w:val="18"/>
              </w:rPr>
              <w:t>Intuition</w:t>
            </w:r>
          </w:p>
        </w:tc>
      </w:tr>
      <w:tr>
        <w:tc>
          <w:tcPr>
            <w:tcW w:type="dxa" w:w="2551"/>
          </w:tcPr>
          <w:p>
            <w:r/>
            <w:r>
              <w:rPr>
                <w:color w:val="26262A"/>
                <w:sz w:val="17"/>
              </w:rPr>
              <w:t>Government &amp; Public Admin</w:t>
            </w:r>
          </w:p>
        </w:tc>
        <w:tc>
          <w:tcPr>
            <w:tcW w:type="dxa" w:w="1701"/>
          </w:tcPr>
          <w:p>
            <w:r/>
            <w:r>
              <w:rPr>
                <w:color w:val="26262A"/>
                <w:sz w:val="17"/>
              </w:rPr>
              <w:t>1.38</w:t>
            </w:r>
          </w:p>
        </w:tc>
        <w:tc>
          <w:tcPr>
            <w:tcW w:type="dxa" w:w="1701"/>
          </w:tcPr>
          <w:p>
            <w:r/>
            <w:r>
              <w:rPr>
                <w:color w:val="26262A"/>
                <w:sz w:val="17"/>
              </w:rPr>
              <w:t>0.22</w:t>
            </w:r>
          </w:p>
        </w:tc>
        <w:tc>
          <w:tcPr>
            <w:tcW w:type="dxa" w:w="3118"/>
          </w:tcPr>
          <w:p>
            <w:r/>
            <w:r>
              <w:rPr>
                <w:color w:val="26262A"/>
                <w:sz w:val="17"/>
              </w:rPr>
              <w:t>Civil service protections, slow turnover</w:t>
            </w:r>
          </w:p>
        </w:tc>
      </w:tr>
      <w:tr>
        <w:tc>
          <w:tcPr>
            <w:tcW w:type="dxa" w:w="2551"/>
            <w:shd w:fill="F5F7FB"/>
          </w:tcPr>
          <w:p>
            <w:r/>
            <w:r>
              <w:rPr>
                <w:color w:val="26262A"/>
                <w:sz w:val="17"/>
              </w:rPr>
              <w:t>Insurance</w:t>
            </w:r>
          </w:p>
        </w:tc>
        <w:tc>
          <w:tcPr>
            <w:tcW w:type="dxa" w:w="1701"/>
            <w:shd w:fill="F5F7FB"/>
          </w:tcPr>
          <w:p>
            <w:r/>
            <w:r>
              <w:rPr>
                <w:color w:val="26262A"/>
                <w:sz w:val="17"/>
              </w:rPr>
              <w:t>1.70</w:t>
            </w:r>
          </w:p>
        </w:tc>
        <w:tc>
          <w:tcPr>
            <w:tcW w:type="dxa" w:w="1701"/>
            <w:shd w:fill="F5F7FB"/>
          </w:tcPr>
          <w:p>
            <w:r/>
            <w:r>
              <w:rPr>
                <w:color w:val="26262A"/>
                <w:sz w:val="17"/>
              </w:rPr>
              <w:t>0.27</w:t>
            </w:r>
          </w:p>
        </w:tc>
        <w:tc>
          <w:tcPr>
            <w:tcW w:type="dxa" w:w="3118"/>
            <w:shd w:fill="F5F7FB"/>
          </w:tcPr>
          <w:p>
            <w:r/>
            <w:r>
              <w:rPr>
                <w:color w:val="26262A"/>
                <w:sz w:val="17"/>
              </w:rPr>
              <w:t>Regulated, credentialed, stable workforce</w:t>
            </w:r>
          </w:p>
        </w:tc>
      </w:tr>
      <w:tr>
        <w:tc>
          <w:tcPr>
            <w:tcW w:type="dxa" w:w="2551"/>
          </w:tcPr>
          <w:p>
            <w:r/>
            <w:r>
              <w:rPr>
                <w:color w:val="26262A"/>
                <w:sz w:val="17"/>
              </w:rPr>
              <w:t>Law Firms</w:t>
            </w:r>
          </w:p>
        </w:tc>
        <w:tc>
          <w:tcPr>
            <w:tcW w:type="dxa" w:w="1701"/>
          </w:tcPr>
          <w:p>
            <w:r/>
            <w:r>
              <w:rPr>
                <w:color w:val="26262A"/>
                <w:sz w:val="17"/>
              </w:rPr>
              <w:t>1.80</w:t>
            </w:r>
          </w:p>
        </w:tc>
        <w:tc>
          <w:tcPr>
            <w:tcW w:type="dxa" w:w="1701"/>
          </w:tcPr>
          <w:p>
            <w:r/>
            <w:r>
              <w:rPr>
                <w:color w:val="26262A"/>
                <w:sz w:val="17"/>
              </w:rPr>
              <w:t>0.28</w:t>
            </w:r>
          </w:p>
        </w:tc>
        <w:tc>
          <w:tcPr>
            <w:tcW w:type="dxa" w:w="3118"/>
          </w:tcPr>
          <w:p>
            <w:r/>
            <w:r>
              <w:rPr>
                <w:color w:val="26262A"/>
                <w:sz w:val="17"/>
              </w:rPr>
              <w:t>Partnership track, high retention</w:t>
            </w:r>
          </w:p>
        </w:tc>
      </w:tr>
      <w:tr>
        <w:tc>
          <w:tcPr>
            <w:tcW w:type="dxa" w:w="2551"/>
            <w:shd w:fill="F5F7FB"/>
          </w:tcPr>
          <w:p>
            <w:r/>
            <w:r>
              <w:rPr>
                <w:color w:val="26262A"/>
                <w:sz w:val="17"/>
              </w:rPr>
              <w:t>Finance &amp; Banking</w:t>
            </w:r>
          </w:p>
        </w:tc>
        <w:tc>
          <w:tcPr>
            <w:tcW w:type="dxa" w:w="1701"/>
            <w:shd w:fill="F5F7FB"/>
          </w:tcPr>
          <w:p>
            <w:r/>
            <w:r>
              <w:rPr>
                <w:color w:val="26262A"/>
                <w:sz w:val="17"/>
              </w:rPr>
              <w:t>2.15</w:t>
            </w:r>
          </w:p>
        </w:tc>
        <w:tc>
          <w:tcPr>
            <w:tcW w:type="dxa" w:w="1701"/>
            <w:shd w:fill="F5F7FB"/>
          </w:tcPr>
          <w:p>
            <w:r/>
            <w:r>
              <w:rPr>
                <w:color w:val="26262A"/>
                <w:sz w:val="17"/>
              </w:rPr>
              <w:t>0.32</w:t>
            </w:r>
          </w:p>
        </w:tc>
        <w:tc>
          <w:tcPr>
            <w:tcW w:type="dxa" w:w="3118"/>
            <w:shd w:fill="F5F7FB"/>
          </w:tcPr>
          <w:p>
            <w:r/>
            <w:r>
              <w:rPr>
                <w:color w:val="26262A"/>
                <w:sz w:val="17"/>
              </w:rPr>
              <w:t>Moderate turnover, regulated</w:t>
            </w:r>
          </w:p>
        </w:tc>
      </w:tr>
      <w:tr>
        <w:tc>
          <w:tcPr>
            <w:tcW w:type="dxa" w:w="2551"/>
          </w:tcPr>
          <w:p>
            <w:r/>
            <w:r>
              <w:rPr>
                <w:color w:val="26262A"/>
                <w:sz w:val="17"/>
              </w:rPr>
              <w:t>Technology &amp; Software</w:t>
            </w:r>
          </w:p>
        </w:tc>
        <w:tc>
          <w:tcPr>
            <w:tcW w:type="dxa" w:w="1701"/>
          </w:tcPr>
          <w:p>
            <w:r/>
            <w:r>
              <w:rPr>
                <w:color w:val="26262A"/>
                <w:sz w:val="17"/>
              </w:rPr>
              <w:t>3.30</w:t>
            </w:r>
          </w:p>
        </w:tc>
        <w:tc>
          <w:tcPr>
            <w:tcW w:type="dxa" w:w="1701"/>
          </w:tcPr>
          <w:p>
            <w:r/>
            <w:r>
              <w:rPr>
                <w:color w:val="26262A"/>
                <w:sz w:val="17"/>
              </w:rPr>
              <w:t>0.45</w:t>
            </w:r>
          </w:p>
        </w:tc>
        <w:tc>
          <w:tcPr>
            <w:tcW w:type="dxa" w:w="3118"/>
          </w:tcPr>
          <w:p>
            <w:r/>
            <w:r>
              <w:rPr>
                <w:color w:val="26262A"/>
                <w:sz w:val="17"/>
              </w:rPr>
              <w:t>High voluntary churn, startup culture</w:t>
            </w:r>
          </w:p>
        </w:tc>
      </w:tr>
      <w:tr>
        <w:tc>
          <w:tcPr>
            <w:tcW w:type="dxa" w:w="2551"/>
            <w:shd w:fill="F5F7FB"/>
          </w:tcPr>
          <w:p>
            <w:r/>
            <w:r>
              <w:rPr>
                <w:color w:val="26262A"/>
                <w:sz w:val="17"/>
              </w:rPr>
              <w:t>Retail Trade</w:t>
            </w:r>
          </w:p>
        </w:tc>
        <w:tc>
          <w:tcPr>
            <w:tcW w:type="dxa" w:w="1701"/>
            <w:shd w:fill="F5F7FB"/>
          </w:tcPr>
          <w:p>
            <w:r/>
            <w:r>
              <w:rPr>
                <w:color w:val="26262A"/>
                <w:sz w:val="17"/>
              </w:rPr>
              <w:t>3.81</w:t>
            </w:r>
          </w:p>
        </w:tc>
        <w:tc>
          <w:tcPr>
            <w:tcW w:type="dxa" w:w="1701"/>
            <w:shd w:fill="F5F7FB"/>
          </w:tcPr>
          <w:p>
            <w:r/>
            <w:r>
              <w:rPr>
                <w:color w:val="26262A"/>
                <w:sz w:val="17"/>
              </w:rPr>
              <w:t>0.50</w:t>
            </w:r>
          </w:p>
        </w:tc>
        <w:tc>
          <w:tcPr>
            <w:tcW w:type="dxa" w:w="3118"/>
            <w:shd w:fill="F5F7FB"/>
          </w:tcPr>
          <w:p>
            <w:r/>
            <w:r>
              <w:rPr>
                <w:color w:val="26262A"/>
                <w:sz w:val="17"/>
              </w:rPr>
              <w:t>High turnover, low switching costs</w:t>
            </w:r>
          </w:p>
        </w:tc>
      </w:tr>
      <w:tr>
        <w:tc>
          <w:tcPr>
            <w:tcW w:type="dxa" w:w="2551"/>
          </w:tcPr>
          <w:p>
            <w:r/>
            <w:r>
              <w:rPr>
                <w:color w:val="26262A"/>
                <w:sz w:val="17"/>
              </w:rPr>
              <w:t>Accommodation &amp; Food</w:t>
            </w:r>
          </w:p>
        </w:tc>
        <w:tc>
          <w:tcPr>
            <w:tcW w:type="dxa" w:w="1701"/>
          </w:tcPr>
          <w:p>
            <w:r/>
            <w:r>
              <w:rPr>
                <w:color w:val="26262A"/>
                <w:sz w:val="17"/>
              </w:rPr>
              <w:t>5.45</w:t>
            </w:r>
          </w:p>
        </w:tc>
        <w:tc>
          <w:tcPr>
            <w:tcW w:type="dxa" w:w="1701"/>
          </w:tcPr>
          <w:p>
            <w:r/>
            <w:r>
              <w:rPr>
                <w:color w:val="26262A"/>
                <w:sz w:val="17"/>
              </w:rPr>
              <w:t>0.64</w:t>
            </w:r>
          </w:p>
        </w:tc>
        <w:tc>
          <w:tcPr>
            <w:tcW w:type="dxa" w:w="3118"/>
          </w:tcPr>
          <w:p>
            <w:r/>
            <w:r>
              <w:rPr>
                <w:color w:val="26262A"/>
                <w:sz w:val="17"/>
              </w:rPr>
              <w:t>Highest churn sector in the economy</w:t>
            </w:r>
          </w:p>
        </w:tc>
      </w:tr>
    </w:tbl>
    <w:p/>
    <w:p>
      <w:pPr>
        <w:pStyle w:val="Heading2"/>
      </w:pPr>
      <w:r>
        <w:t>E — Elasticity Dampener (Jevons Paradox)</w:t>
      </w:r>
    </w:p>
    <w:p>
      <w:r>
        <w:rPr>
          <w:b/>
        </w:rPr>
        <w:t xml:space="preserve">What it captures: </w:t>
      </w:r>
      <w:r>
        <w:t>When AI makes output cheaper, does demand expand to absorb displaced workers, or is demand fixed? This is the Jevons paradox applied to labor markets.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F1E3E"/>
          </w:tcPr>
          <w:p>
            <w:pPr>
              <w:jc w:val="center"/>
            </w:pPr>
            <w:r/>
            <w:r>
              <w:rPr>
                <w:b/>
                <w:color w:val="FFFFFF"/>
                <w:sz w:val="18"/>
              </w:rPr>
              <w:t>E Value</w:t>
            </w:r>
          </w:p>
        </w:tc>
        <w:tc>
          <w:tcPr>
            <w:tcW w:type="dxa" w:w="1701"/>
            <w:shd w:fill="0F1E3E"/>
          </w:tcPr>
          <w:p>
            <w:pPr>
              <w:jc w:val="center"/>
            </w:pPr>
            <w:r/>
            <w:r>
              <w:rPr>
                <w:b/>
                <w:color w:val="FFFFFF"/>
                <w:sz w:val="18"/>
              </w:rPr>
              <w:t>Label</w:t>
            </w:r>
          </w:p>
        </w:tc>
        <w:tc>
          <w:tcPr>
            <w:tcW w:type="dxa" w:w="3118"/>
            <w:shd w:fill="0F1E3E"/>
          </w:tcPr>
          <w:p>
            <w:pPr>
              <w:jc w:val="center"/>
            </w:pPr>
            <w:r/>
            <w:r>
              <w:rPr>
                <w:b/>
                <w:color w:val="FFFFFF"/>
                <w:sz w:val="18"/>
              </w:rPr>
              <w:t>Mechanism</w:t>
            </w:r>
          </w:p>
        </w:tc>
        <w:tc>
          <w:tcPr>
            <w:tcW w:type="dxa" w:w="3402"/>
            <w:shd w:fill="0F1E3E"/>
          </w:tcPr>
          <w:p>
            <w:pPr>
              <w:jc w:val="center"/>
            </w:pPr>
            <w:r/>
            <w:r>
              <w:rPr>
                <w:b/>
                <w:color w:val="FFFFFF"/>
                <w:sz w:val="18"/>
              </w:rPr>
              <w:t>Examples</w:t>
            </w:r>
          </w:p>
        </w:tc>
      </w:tr>
      <w:tr>
        <w:tc>
          <w:tcPr>
            <w:tcW w:type="dxa" w:w="850"/>
          </w:tcPr>
          <w:p>
            <w:r/>
            <w:r>
              <w:rPr>
                <w:color w:val="26262A"/>
                <w:sz w:val="17"/>
              </w:rPr>
              <w:t>0.25</w:t>
            </w:r>
          </w:p>
        </w:tc>
        <w:tc>
          <w:tcPr>
            <w:tcW w:type="dxa" w:w="1701"/>
          </w:tcPr>
          <w:p>
            <w:r/>
            <w:r>
              <w:rPr>
                <w:color w:val="26262A"/>
                <w:sz w:val="17"/>
              </w:rPr>
              <w:t>Demand-absorbing</w:t>
            </w:r>
          </w:p>
        </w:tc>
        <w:tc>
          <w:tcPr>
            <w:tcW w:type="dxa" w:w="3118"/>
          </w:tcPr>
          <w:p>
            <w:r/>
            <w:r>
              <w:rPr>
                <w:color w:val="26262A"/>
                <w:sz w:val="17"/>
              </w:rPr>
              <w:t>Strong Jevons effect — cheaper output creates new demand that absorbs workers</w:t>
            </w:r>
          </w:p>
        </w:tc>
        <w:tc>
          <w:tcPr>
            <w:tcW w:type="dxa" w:w="3402"/>
          </w:tcPr>
          <w:p>
            <w:r/>
            <w:r>
              <w:rPr>
                <w:color w:val="26262A"/>
                <w:sz w:val="17"/>
              </w:rPr>
              <w:t>Technology (cheaper dev → more software), Healthcare diagnostics (cheaper screening → more screening)</w:t>
            </w:r>
          </w:p>
        </w:tc>
      </w:tr>
      <w:tr>
        <w:tc>
          <w:tcPr>
            <w:tcW w:type="dxa" w:w="850"/>
            <w:shd w:fill="F5F7FB"/>
          </w:tcPr>
          <w:p>
            <w:r/>
            <w:r>
              <w:rPr>
                <w:color w:val="26262A"/>
                <w:sz w:val="17"/>
              </w:rPr>
              <w:t>0.50</w:t>
            </w:r>
          </w:p>
        </w:tc>
        <w:tc>
          <w:tcPr>
            <w:tcW w:type="dxa" w:w="1701"/>
            <w:shd w:fill="F5F7FB"/>
          </w:tcPr>
          <w:p>
            <w:r/>
            <w:r>
              <w:rPr>
                <w:color w:val="26262A"/>
                <w:sz w:val="17"/>
              </w:rPr>
              <w:t>Partially absorbing</w:t>
            </w:r>
          </w:p>
        </w:tc>
        <w:tc>
          <w:tcPr>
            <w:tcW w:type="dxa" w:w="3118"/>
            <w:shd w:fill="F5F7FB"/>
          </w:tcPr>
          <w:p>
            <w:r/>
            <w:r>
              <w:rPr>
                <w:color w:val="26262A"/>
                <w:sz w:val="17"/>
              </w:rPr>
              <w:t>Mixed response — some new demand, but not enough to fully offset displacement</w:t>
            </w:r>
          </w:p>
        </w:tc>
        <w:tc>
          <w:tcPr>
            <w:tcW w:type="dxa" w:w="3402"/>
            <w:shd w:fill="F5F7FB"/>
          </w:tcPr>
          <w:p>
            <w:r/>
            <w:r>
              <w:rPr>
                <w:color w:val="26262A"/>
                <w:sz w:val="17"/>
              </w:rPr>
              <w:t>Finance, Legal, Manufacturing, Retail</w:t>
            </w:r>
          </w:p>
        </w:tc>
      </w:tr>
      <w:tr>
        <w:tc>
          <w:tcPr>
            <w:tcW w:type="dxa" w:w="850"/>
          </w:tcPr>
          <w:p>
            <w:r/>
            <w:r>
              <w:rPr>
                <w:color w:val="26262A"/>
                <w:sz w:val="17"/>
              </w:rPr>
              <w:t>1.00</w:t>
            </w:r>
          </w:p>
        </w:tc>
        <w:tc>
          <w:tcPr>
            <w:tcW w:type="dxa" w:w="1701"/>
          </w:tcPr>
          <w:p>
            <w:r/>
            <w:r>
              <w:rPr>
                <w:color w:val="26262A"/>
                <w:sz w:val="17"/>
              </w:rPr>
              <w:t>Demand-fixed</w:t>
            </w:r>
          </w:p>
        </w:tc>
        <w:tc>
          <w:tcPr>
            <w:tcW w:type="dxa" w:w="3118"/>
          </w:tcPr>
          <w:p>
            <w:r/>
            <w:r>
              <w:rPr>
                <w:color w:val="26262A"/>
                <w:sz w:val="17"/>
              </w:rPr>
              <w:t>No absorption — fixed customer base or budget-driven demand</w:t>
            </w:r>
          </w:p>
        </w:tc>
        <w:tc>
          <w:tcPr>
            <w:tcW w:type="dxa" w:w="3402"/>
          </w:tcPr>
          <w:p>
            <w:r/>
            <w:r>
              <w:rPr>
                <w:color w:val="26262A"/>
                <w:sz w:val="17"/>
              </w:rPr>
              <w:t>Government (fixed citizens), Education (fixed students)</w:t>
            </w:r>
          </w:p>
        </w:tc>
      </w:tr>
    </w:tbl>
    <w:p/>
    <w:p>
      <w:r>
        <w:rPr>
          <w:b/>
        </w:rPr>
        <w:t xml:space="preserve">Scenario-stable: </w:t>
      </w:r>
      <w:r>
        <w:t>Demand elasticity is a structural property of the market, not a function of AI capability.</w:t>
      </w:r>
    </w:p>
    <w:p>
      <w:pPr>
        <w:pStyle w:val="Heading2"/>
      </w:pPr>
      <w:r>
        <w:t>T — Adoption Velocity</w:t>
      </w:r>
    </w:p>
    <w:p>
      <w:r>
        <w:rPr>
          <w:b/>
        </w:rPr>
        <w:t xml:space="preserve">What it captures: </w:t>
      </w:r>
      <w:r>
        <w:t>How fast the industry actually deploys AI, modeled as a logistic S-curve. This is the only variable that depends on both axes of the scenario framework — technology capability AND institutional friction.</w:t>
      </w:r>
    </w:p>
    <w:p>
      <w:pPr>
        <w:spacing w:before="160" w:after="160"/>
        <w:jc w:val="center"/>
      </w:pPr>
      <w:r>
        <w:rPr>
          <w:rFonts w:ascii="Consolas" w:hAnsi="Consolas"/>
          <w:b/>
          <w:color w:val="0F1E3E"/>
          <w:sz w:val="20"/>
        </w:rPr>
        <w:t>T(t)  =  1 / (1 + exp(-1.2 × (t - t₀)))</w:t>
      </w:r>
    </w:p>
    <w:p>
      <w:r>
        <w:t>The inflection point t₀ is derived from four sub-components, each scored 1–4 per sector and friction scenario:</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0F1E3E"/>
          </w:tcPr>
          <w:p>
            <w:pPr>
              <w:jc w:val="center"/>
            </w:pPr>
            <w:r/>
            <w:r>
              <w:rPr>
                <w:b/>
                <w:color w:val="FFFFFF"/>
                <w:sz w:val="18"/>
              </w:rPr>
              <w:t>Sub-Component</w:t>
            </w:r>
          </w:p>
        </w:tc>
        <w:tc>
          <w:tcPr>
            <w:tcW w:type="dxa" w:w="1984"/>
            <w:shd w:fill="0F1E3E"/>
          </w:tcPr>
          <w:p>
            <w:pPr>
              <w:jc w:val="center"/>
            </w:pPr>
            <w:r/>
            <w:r>
              <w:rPr>
                <w:b/>
                <w:color w:val="FFFFFF"/>
                <w:sz w:val="18"/>
              </w:rPr>
              <w:t>Direction</w:t>
            </w:r>
          </w:p>
        </w:tc>
        <w:tc>
          <w:tcPr>
            <w:tcW w:type="dxa" w:w="4819"/>
            <w:shd w:fill="0F1E3E"/>
          </w:tcPr>
          <w:p>
            <w:pPr>
              <w:jc w:val="center"/>
            </w:pPr>
            <w:r/>
            <w:r>
              <w:rPr>
                <w:b/>
                <w:color w:val="FFFFFF"/>
                <w:sz w:val="18"/>
              </w:rPr>
              <w:t>What It Measures</w:t>
            </w:r>
          </w:p>
        </w:tc>
      </w:tr>
      <w:tr>
        <w:tc>
          <w:tcPr>
            <w:tcW w:type="dxa" w:w="2268"/>
          </w:tcPr>
          <w:p>
            <w:r/>
            <w:r>
              <w:rPr>
                <w:color w:val="26262A"/>
                <w:sz w:val="17"/>
              </w:rPr>
              <w:t>T1 — Institutional Inertia</w:t>
            </w:r>
          </w:p>
        </w:tc>
        <w:tc>
          <w:tcPr>
            <w:tcW w:type="dxa" w:w="1984"/>
          </w:tcPr>
          <w:p>
            <w:r/>
            <w:r>
              <w:rPr>
                <w:color w:val="26262A"/>
                <w:sz w:val="17"/>
              </w:rPr>
              <w:t>Drag (higher = slower)</w:t>
            </w:r>
          </w:p>
        </w:tc>
        <w:tc>
          <w:tcPr>
            <w:tcW w:type="dxa" w:w="4819"/>
          </w:tcPr>
          <w:p>
            <w:r/>
            <w:r>
              <w:rPr>
                <w:color w:val="26262A"/>
                <w:sz w:val="17"/>
              </w:rPr>
              <w:t>Bureaucracy, change management, retraining costs, union resistance</w:t>
            </w:r>
          </w:p>
        </w:tc>
      </w:tr>
      <w:tr>
        <w:tc>
          <w:tcPr>
            <w:tcW w:type="dxa" w:w="2268"/>
            <w:shd w:fill="F5F7FB"/>
          </w:tcPr>
          <w:p>
            <w:r/>
            <w:r>
              <w:rPr>
                <w:color w:val="26262A"/>
                <w:sz w:val="17"/>
              </w:rPr>
              <w:t>T2 — Systems Integration</w:t>
            </w:r>
          </w:p>
        </w:tc>
        <w:tc>
          <w:tcPr>
            <w:tcW w:type="dxa" w:w="1984"/>
            <w:shd w:fill="F5F7FB"/>
          </w:tcPr>
          <w:p>
            <w:r/>
            <w:r>
              <w:rPr>
                <w:color w:val="26262A"/>
                <w:sz w:val="17"/>
              </w:rPr>
              <w:t>Drag (higher = slower)</w:t>
            </w:r>
          </w:p>
        </w:tc>
        <w:tc>
          <w:tcPr>
            <w:tcW w:type="dxa" w:w="4819"/>
            <w:shd w:fill="F5F7FB"/>
          </w:tcPr>
          <w:p>
            <w:r/>
            <w:r>
              <w:rPr>
                <w:color w:val="26262A"/>
                <w:sz w:val="17"/>
              </w:rPr>
              <w:t>Legacy system complexity, data pipeline readiness, vendor ecosystem maturity</w:t>
            </w:r>
          </w:p>
        </w:tc>
      </w:tr>
      <w:tr>
        <w:tc>
          <w:tcPr>
            <w:tcW w:type="dxa" w:w="2268"/>
          </w:tcPr>
          <w:p>
            <w:r/>
            <w:r>
              <w:rPr>
                <w:color w:val="26262A"/>
                <w:sz w:val="17"/>
              </w:rPr>
              <w:t>T3 — Customer Acceptance</w:t>
            </w:r>
          </w:p>
        </w:tc>
        <w:tc>
          <w:tcPr>
            <w:tcW w:type="dxa" w:w="1984"/>
          </w:tcPr>
          <w:p>
            <w:r/>
            <w:r>
              <w:rPr>
                <w:color w:val="26262A"/>
                <w:sz w:val="17"/>
              </w:rPr>
              <w:t>Drag (higher = slower)</w:t>
            </w:r>
          </w:p>
        </w:tc>
        <w:tc>
          <w:tcPr>
            <w:tcW w:type="dxa" w:w="4819"/>
          </w:tcPr>
          <w:p>
            <w:r/>
            <w:r>
              <w:rPr>
                <w:color w:val="26262A"/>
                <w:sz w:val="17"/>
              </w:rPr>
              <w:t>End-user willingness to accept AI output, trust, brand risk</w:t>
            </w:r>
          </w:p>
        </w:tc>
      </w:tr>
      <w:tr>
        <w:tc>
          <w:tcPr>
            <w:tcW w:type="dxa" w:w="2268"/>
            <w:shd w:fill="F5F7FB"/>
          </w:tcPr>
          <w:p>
            <w:r/>
            <w:r>
              <w:rPr>
                <w:color w:val="26262A"/>
                <w:sz w:val="17"/>
              </w:rPr>
              <w:t>T4 — Competitive Pressure</w:t>
            </w:r>
          </w:p>
        </w:tc>
        <w:tc>
          <w:tcPr>
            <w:tcW w:type="dxa" w:w="1984"/>
            <w:shd w:fill="F5F7FB"/>
          </w:tcPr>
          <w:p>
            <w:r/>
            <w:r>
              <w:rPr>
                <w:color w:val="26262A"/>
                <w:sz w:val="17"/>
              </w:rPr>
              <w:t>Accelerant (higher = faster)</w:t>
            </w:r>
          </w:p>
        </w:tc>
        <w:tc>
          <w:tcPr>
            <w:tcW w:type="dxa" w:w="4819"/>
            <w:shd w:fill="F5F7FB"/>
          </w:tcPr>
          <w:p>
            <w:r/>
            <w:r>
              <w:rPr>
                <w:color w:val="26262A"/>
                <w:sz w:val="17"/>
              </w:rPr>
              <w:t>Market dynamics pushing adoption — competitive intensity, margin pressure</w:t>
            </w:r>
          </w:p>
        </w:tc>
      </w:tr>
    </w:tbl>
    <w:p/>
    <w:p>
      <w:r>
        <w:t>The inflection point is computed as: D = avg(T1, T2, T3, T4), then t₀ = 1.5×D - 0.5×T4 - 0.5. Competitive pressure (T4) is effectively double-weighted — it appears in the average and directly reduces t₀ — reflecting the empirical observation that competitive dynamics are the strongest predictor of technology adoption speed.</w:t>
      </w:r>
    </w:p>
    <w:p>
      <w:r>
        <w:rPr>
          <w:b/>
        </w:rPr>
        <w:t xml:space="preserve">Powder-keg flag: </w:t>
      </w:r>
      <w:r>
        <w:t>When T &lt; 0.2 at 18 months but (d_max × S(a) × E) &gt; 0.10, the sector is flagged as a 'powder keg' — high latent displacement potential with low current adoption. These sectors represent tail risk: if frictions suddenly ease, displacement could accelerate rapidly.</w:t>
      </w:r>
    </w:p>
    <w:p>
      <w:pPr>
        <w:pStyle w:val="Heading2"/>
      </w:pPr>
      <w:r>
        <w:t>R — Structural Resistance</w:t>
      </w:r>
    </w:p>
    <w:p>
      <w:r>
        <w:rPr>
          <w:b/>
        </w:rPr>
        <w:t xml:space="preserve">What it captures: </w:t>
      </w:r>
      <w:r>
        <w:t>Hard regulatory floors, licensure mandates, and liability regimes that cap displacement regardless of technical capability or market pressure.</w:t>
      </w:r>
    </w:p>
    <w:p>
      <w:r>
        <w:t>R is derived from three sub-components, each scored 1–4:</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0F1E3E"/>
          </w:tcPr>
          <w:p>
            <w:pPr>
              <w:jc w:val="center"/>
            </w:pPr>
            <w:r/>
            <w:r>
              <w:rPr>
                <w:b/>
                <w:color w:val="FFFFFF"/>
                <w:sz w:val="18"/>
              </w:rPr>
              <w:t>Sub-Component</w:t>
            </w:r>
          </w:p>
        </w:tc>
        <w:tc>
          <w:tcPr>
            <w:tcW w:type="dxa" w:w="3685"/>
            <w:shd w:fill="0F1E3E"/>
          </w:tcPr>
          <w:p>
            <w:pPr>
              <w:jc w:val="center"/>
            </w:pPr>
            <w:r/>
            <w:r>
              <w:rPr>
                <w:b/>
                <w:color w:val="FFFFFF"/>
                <w:sz w:val="18"/>
              </w:rPr>
              <w:t>What It Measures</w:t>
            </w:r>
          </w:p>
        </w:tc>
        <w:tc>
          <w:tcPr>
            <w:tcW w:type="dxa" w:w="3402"/>
            <w:shd w:fill="0F1E3E"/>
          </w:tcPr>
          <w:p>
            <w:pPr>
              <w:jc w:val="center"/>
            </w:pPr>
            <w:r/>
            <w:r>
              <w:rPr>
                <w:b/>
                <w:color w:val="FFFFFF"/>
                <w:sz w:val="18"/>
              </w:rPr>
              <w:t>Example</w:t>
            </w:r>
          </w:p>
        </w:tc>
      </w:tr>
      <w:tr>
        <w:tc>
          <w:tcPr>
            <w:tcW w:type="dxa" w:w="1984"/>
          </w:tcPr>
          <w:p>
            <w:r/>
            <w:r>
              <w:rPr>
                <w:color w:val="26262A"/>
                <w:sz w:val="17"/>
              </w:rPr>
              <w:t>f1 — Liability</w:t>
            </w:r>
          </w:p>
        </w:tc>
        <w:tc>
          <w:tcPr>
            <w:tcW w:type="dxa" w:w="3685"/>
          </w:tcPr>
          <w:p>
            <w:r/>
            <w:r>
              <w:rPr>
                <w:color w:val="26262A"/>
                <w:sz w:val="17"/>
              </w:rPr>
              <w:t>Who is liable when AI errs? Unresolved liability allocation blocks deployment</w:t>
            </w:r>
          </w:p>
        </w:tc>
        <w:tc>
          <w:tcPr>
            <w:tcW w:type="dxa" w:w="3402"/>
          </w:tcPr>
          <w:p>
            <w:r/>
            <w:r>
              <w:rPr>
                <w:color w:val="26262A"/>
                <w:sz w:val="17"/>
              </w:rPr>
              <w:t>Medical malpractice, legal advice liability</w:t>
            </w:r>
          </w:p>
        </w:tc>
      </w:tr>
      <w:tr>
        <w:tc>
          <w:tcPr>
            <w:tcW w:type="dxa" w:w="1984"/>
            <w:shd w:fill="F5F7FB"/>
          </w:tcPr>
          <w:p>
            <w:r/>
            <w:r>
              <w:rPr>
                <w:color w:val="26262A"/>
                <w:sz w:val="17"/>
              </w:rPr>
              <w:t>f2 — Statutory Mandate</w:t>
            </w:r>
          </w:p>
        </w:tc>
        <w:tc>
          <w:tcPr>
            <w:tcW w:type="dxa" w:w="3685"/>
            <w:shd w:fill="F5F7FB"/>
          </w:tcPr>
          <w:p>
            <w:r/>
            <w:r>
              <w:rPr>
                <w:color w:val="26262A"/>
                <w:sz w:val="17"/>
              </w:rPr>
              <w:t>Hard licensure requirements or legal mandates for human involvement</w:t>
            </w:r>
          </w:p>
        </w:tc>
        <w:tc>
          <w:tcPr>
            <w:tcW w:type="dxa" w:w="3402"/>
            <w:shd w:fill="F5F7FB"/>
          </w:tcPr>
          <w:p>
            <w:r/>
            <w:r>
              <w:rPr>
                <w:color w:val="26262A"/>
                <w:sz w:val="17"/>
              </w:rPr>
              <w:t>Licensed physicians, CPAs signing audits, notarization</w:t>
            </w:r>
          </w:p>
        </w:tc>
      </w:tr>
      <w:tr>
        <w:tc>
          <w:tcPr>
            <w:tcW w:type="dxa" w:w="1984"/>
          </w:tcPr>
          <w:p>
            <w:r/>
            <w:r>
              <w:rPr>
                <w:color w:val="26262A"/>
                <w:sz w:val="17"/>
              </w:rPr>
              <w:t>f3 — Labor &amp; Gatekeeping</w:t>
            </w:r>
          </w:p>
        </w:tc>
        <w:tc>
          <w:tcPr>
            <w:tcW w:type="dxa" w:w="3685"/>
          </w:tcPr>
          <w:p>
            <w:r/>
            <w:r>
              <w:rPr>
                <w:color w:val="26262A"/>
                <w:sz w:val="17"/>
              </w:rPr>
              <w:t>Unions, professional associations, and credentialing bodies that control workforce entry</w:t>
            </w:r>
          </w:p>
        </w:tc>
        <w:tc>
          <w:tcPr>
            <w:tcW w:type="dxa" w:w="3402"/>
          </w:tcPr>
          <w:p>
            <w:r/>
            <w:r>
              <w:rPr>
                <w:color w:val="26262A"/>
                <w:sz w:val="17"/>
              </w:rPr>
              <w:t>Bar associations, medical boards, teaching certificates</w:t>
            </w:r>
          </w:p>
        </w:tc>
      </w:tr>
    </w:tbl>
    <w:p/>
    <w:p>
      <w:pPr>
        <w:spacing w:before="160" w:after="160"/>
        <w:jc w:val="center"/>
      </w:pPr>
      <w:r>
        <w:rPr>
          <w:rFonts w:ascii="Consolas" w:hAnsi="Consolas"/>
          <w:b/>
          <w:color w:val="0F1E3E"/>
          <w:sz w:val="20"/>
        </w:rPr>
        <w:t>F = f1 + f2 + f3        R = 1 - 0.7 × (F - 3) / 9</w:t>
      </w:r>
    </w:p>
    <w:p>
      <w:r>
        <w:t>At the floor (F = 3, no barriers), R = 1.00 — regulation imposes no cap. At the ceiling (F = 12, maximum barriers), R = 0.30 — regulation blocks 70% of potential displacement. This is scenario-stable: regulatory regimes do not change meaningfully within 18 months.</w:t>
      </w:r>
    </w:p>
    <w:p>
      <w:r>
        <w:br w:type="page"/>
      </w:r>
    </w:p>
    <w:p>
      <w:pPr>
        <w:pStyle w:val="Heading1"/>
      </w:pPr>
      <w:r>
        <w:t>7.  The 2×2 Scenario Framework</w:t>
      </w:r>
    </w:p>
    <w:p>
      <w:r>
        <w:t>The model produces four displacement estimates per sector by crossing two independent axes of uncertainty. This avoids the false precision of a single-point forecast and helps clients plan across a range of plausible futures.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fill="0F1E3E"/>
          </w:tcPr>
          <w:p>
            <w:pPr>
              <w:jc w:val="center"/>
            </w:pPr>
            <w:r/>
            <w:r>
              <w:rPr>
                <w:b/>
                <w:color w:val="FFFFFF"/>
                <w:sz w:val="18"/>
              </w:rPr>
              <w:t>Scenario</w:t>
            </w:r>
          </w:p>
        </w:tc>
        <w:tc>
          <w:tcPr>
            <w:tcW w:type="dxa" w:w="1984"/>
            <w:shd w:fill="0F1E3E"/>
          </w:tcPr>
          <w:p>
            <w:pPr>
              <w:jc w:val="center"/>
            </w:pPr>
            <w:r/>
            <w:r>
              <w:rPr>
                <w:b/>
                <w:color w:val="FFFFFF"/>
                <w:sz w:val="18"/>
              </w:rPr>
              <w:t>Tech Capability</w:t>
            </w:r>
          </w:p>
        </w:tc>
        <w:tc>
          <w:tcPr>
            <w:tcW w:type="dxa" w:w="1984"/>
            <w:shd w:fill="0F1E3E"/>
          </w:tcPr>
          <w:p>
            <w:pPr>
              <w:jc w:val="center"/>
            </w:pPr>
            <w:r/>
            <w:r>
              <w:rPr>
                <w:b/>
                <w:color w:val="FFFFFF"/>
                <w:sz w:val="18"/>
              </w:rPr>
              <w:t>Adoption Friction</w:t>
            </w:r>
          </w:p>
        </w:tc>
        <w:tc>
          <w:tcPr>
            <w:tcW w:type="dxa" w:w="3969"/>
            <w:shd w:fill="0F1E3E"/>
          </w:tcPr>
          <w:p>
            <w:pPr>
              <w:jc w:val="center"/>
            </w:pPr>
            <w:r/>
            <w:r>
              <w:rPr>
                <w:b/>
                <w:color w:val="FFFFFF"/>
                <w:sz w:val="18"/>
              </w:rPr>
              <w:t>Character</w:t>
            </w:r>
          </w:p>
        </w:tc>
      </w:tr>
      <w:tr>
        <w:tc>
          <w:tcPr>
            <w:tcW w:type="dxa" w:w="1134"/>
          </w:tcPr>
          <w:p>
            <w:r/>
            <w:r>
              <w:rPr>
                <w:color w:val="26262A"/>
                <w:sz w:val="17"/>
              </w:rPr>
              <w:t>1</w:t>
            </w:r>
          </w:p>
        </w:tc>
        <w:tc>
          <w:tcPr>
            <w:tcW w:type="dxa" w:w="1984"/>
          </w:tcPr>
          <w:p>
            <w:r/>
            <w:r>
              <w:rPr>
                <w:color w:val="26262A"/>
                <w:sz w:val="17"/>
              </w:rPr>
              <w:t>Moderate</w:t>
            </w:r>
          </w:p>
        </w:tc>
        <w:tc>
          <w:tcPr>
            <w:tcW w:type="dxa" w:w="1984"/>
          </w:tcPr>
          <w:p>
            <w:r/>
            <w:r>
              <w:rPr>
                <w:color w:val="26262A"/>
                <w:sz w:val="17"/>
              </w:rPr>
              <w:t>Low</w:t>
            </w:r>
          </w:p>
        </w:tc>
        <w:tc>
          <w:tcPr>
            <w:tcW w:type="dxa" w:w="3969"/>
          </w:tcPr>
          <w:p>
            <w:r/>
            <w:r>
              <w:rPr>
                <w:color w:val="26262A"/>
                <w:sz w:val="17"/>
              </w:rPr>
              <w:t>Baseline — steady AI improvement, easy deployment</w:t>
            </w:r>
          </w:p>
        </w:tc>
      </w:tr>
      <w:tr>
        <w:tc>
          <w:tcPr>
            <w:tcW w:type="dxa" w:w="1134"/>
            <w:shd w:fill="F5F7FB"/>
          </w:tcPr>
          <w:p>
            <w:r/>
            <w:r>
              <w:rPr>
                <w:color w:val="26262A"/>
                <w:sz w:val="17"/>
              </w:rPr>
              <w:t>2</w:t>
            </w:r>
          </w:p>
        </w:tc>
        <w:tc>
          <w:tcPr>
            <w:tcW w:type="dxa" w:w="1984"/>
            <w:shd w:fill="F5F7FB"/>
          </w:tcPr>
          <w:p>
            <w:r/>
            <w:r>
              <w:rPr>
                <w:color w:val="26262A"/>
                <w:sz w:val="17"/>
              </w:rPr>
              <w:t>Moderate</w:t>
            </w:r>
          </w:p>
        </w:tc>
        <w:tc>
          <w:tcPr>
            <w:tcW w:type="dxa" w:w="1984"/>
            <w:shd w:fill="F5F7FB"/>
          </w:tcPr>
          <w:p>
            <w:r/>
            <w:r>
              <w:rPr>
                <w:color w:val="26262A"/>
                <w:sz w:val="17"/>
              </w:rPr>
              <w:t>High</w:t>
            </w:r>
          </w:p>
        </w:tc>
        <w:tc>
          <w:tcPr>
            <w:tcW w:type="dxa" w:w="3969"/>
            <w:shd w:fill="F5F7FB"/>
          </w:tcPr>
          <w:p>
            <w:r/>
            <w:r>
              <w:rPr>
                <w:color w:val="26262A"/>
                <w:sz w:val="17"/>
              </w:rPr>
              <w:t>Moderate tech, institutional resistance slows adoption</w:t>
            </w:r>
          </w:p>
        </w:tc>
      </w:tr>
      <w:tr>
        <w:tc>
          <w:tcPr>
            <w:tcW w:type="dxa" w:w="1134"/>
          </w:tcPr>
          <w:p>
            <w:r/>
            <w:r>
              <w:rPr>
                <w:color w:val="26262A"/>
                <w:sz w:val="17"/>
              </w:rPr>
              <w:t>3</w:t>
            </w:r>
          </w:p>
        </w:tc>
        <w:tc>
          <w:tcPr>
            <w:tcW w:type="dxa" w:w="1984"/>
          </w:tcPr>
          <w:p>
            <w:r/>
            <w:r>
              <w:rPr>
                <w:color w:val="26262A"/>
                <w:sz w:val="17"/>
              </w:rPr>
              <w:t>Significant</w:t>
            </w:r>
          </w:p>
        </w:tc>
        <w:tc>
          <w:tcPr>
            <w:tcW w:type="dxa" w:w="1984"/>
          </w:tcPr>
          <w:p>
            <w:r/>
            <w:r>
              <w:rPr>
                <w:color w:val="26262A"/>
                <w:sz w:val="17"/>
              </w:rPr>
              <w:t>Low</w:t>
            </w:r>
          </w:p>
        </w:tc>
        <w:tc>
          <w:tcPr>
            <w:tcW w:type="dxa" w:w="3969"/>
          </w:tcPr>
          <w:p>
            <w:r/>
            <w:r>
              <w:rPr>
                <w:color w:val="26262A"/>
                <w:sz w:val="17"/>
              </w:rPr>
              <w:t>Breakthrough AI, organizations deploy rapidly</w:t>
            </w:r>
          </w:p>
        </w:tc>
      </w:tr>
      <w:tr>
        <w:tc>
          <w:tcPr>
            <w:tcW w:type="dxa" w:w="1134"/>
            <w:shd w:fill="F5F7FB"/>
          </w:tcPr>
          <w:p>
            <w:r/>
            <w:r>
              <w:rPr>
                <w:color w:val="26262A"/>
                <w:sz w:val="17"/>
              </w:rPr>
              <w:t>4</w:t>
            </w:r>
          </w:p>
        </w:tc>
        <w:tc>
          <w:tcPr>
            <w:tcW w:type="dxa" w:w="1984"/>
            <w:shd w:fill="F5F7FB"/>
          </w:tcPr>
          <w:p>
            <w:r/>
            <w:r>
              <w:rPr>
                <w:color w:val="26262A"/>
                <w:sz w:val="17"/>
              </w:rPr>
              <w:t>Significant</w:t>
            </w:r>
          </w:p>
        </w:tc>
        <w:tc>
          <w:tcPr>
            <w:tcW w:type="dxa" w:w="1984"/>
            <w:shd w:fill="F5F7FB"/>
          </w:tcPr>
          <w:p>
            <w:r/>
            <w:r>
              <w:rPr>
                <w:color w:val="26262A"/>
                <w:sz w:val="17"/>
              </w:rPr>
              <w:t>High</w:t>
            </w:r>
          </w:p>
        </w:tc>
        <w:tc>
          <w:tcPr>
            <w:tcW w:type="dxa" w:w="3969"/>
            <w:shd w:fill="F5F7FB"/>
          </w:tcPr>
          <w:p>
            <w:r/>
            <w:r>
              <w:rPr>
                <w:color w:val="26262A"/>
                <w:sz w:val="17"/>
              </w:rPr>
              <w:t>Breakthrough AI, but institutional barriers slow rollout</w:t>
            </w:r>
          </w:p>
        </w:tc>
      </w:tr>
    </w:tbl>
    <w:p/>
    <w:p>
      <w:pPr>
        <w:pStyle w:val="Heading2"/>
      </w:pPr>
      <w:r>
        <w:t>How Scenarios Map to Variables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fill="0F1E3E"/>
          </w:tcPr>
          <w:p>
            <w:pPr>
              <w:jc w:val="center"/>
            </w:pPr>
            <w:r/>
            <w:r>
              <w:rPr>
                <w:b/>
                <w:color w:val="FFFFFF"/>
                <w:sz w:val="18"/>
              </w:rPr>
              <w:t>Variable</w:t>
            </w:r>
          </w:p>
        </w:tc>
        <w:tc>
          <w:tcPr>
            <w:tcW w:type="dxa" w:w="1134"/>
            <w:shd w:fill="0F1E3E"/>
          </w:tcPr>
          <w:p>
            <w:pPr>
              <w:jc w:val="center"/>
            </w:pPr>
            <w:r/>
            <w:r>
              <w:rPr>
                <w:b/>
                <w:color w:val="FFFFFF"/>
                <w:sz w:val="18"/>
              </w:rPr>
              <w:t>Tech Axis</w:t>
            </w:r>
          </w:p>
        </w:tc>
        <w:tc>
          <w:tcPr>
            <w:tcW w:type="dxa" w:w="1417"/>
            <w:shd w:fill="0F1E3E"/>
          </w:tcPr>
          <w:p>
            <w:pPr>
              <w:jc w:val="center"/>
            </w:pPr>
            <w:r/>
            <w:r>
              <w:rPr>
                <w:b/>
                <w:color w:val="FFFFFF"/>
                <w:sz w:val="18"/>
              </w:rPr>
              <w:t>Friction Axis</w:t>
            </w:r>
          </w:p>
        </w:tc>
        <w:tc>
          <w:tcPr>
            <w:tcW w:type="dxa" w:w="3969"/>
            <w:shd w:fill="0F1E3E"/>
          </w:tcPr>
          <w:p>
            <w:pPr>
              <w:jc w:val="center"/>
            </w:pPr>
            <w:r/>
            <w:r>
              <w:rPr>
                <w:b/>
                <w:color w:val="FFFFFF"/>
                <w:sz w:val="18"/>
              </w:rPr>
              <w:t>Scenario Behavior</w:t>
            </w:r>
          </w:p>
        </w:tc>
      </w:tr>
      <w:tr>
        <w:tc>
          <w:tcPr>
            <w:tcW w:type="dxa" w:w="2551"/>
          </w:tcPr>
          <w:p>
            <w:r/>
            <w:r>
              <w:rPr>
                <w:color w:val="26262A"/>
                <w:sz w:val="17"/>
              </w:rPr>
              <w:t>a(i,s) — Automatability</w:t>
            </w:r>
          </w:p>
        </w:tc>
        <w:tc>
          <w:tcPr>
            <w:tcW w:type="dxa" w:w="1134"/>
          </w:tcPr>
          <w:p>
            <w:r/>
            <w:r>
              <w:rPr>
                <w:color w:val="26262A"/>
                <w:sz w:val="17"/>
              </w:rPr>
              <w:t>Yes</w:t>
            </w:r>
          </w:p>
        </w:tc>
        <w:tc>
          <w:tcPr>
            <w:tcW w:type="dxa" w:w="1417"/>
          </w:tcPr>
          <w:p>
            <w:r/>
            <w:r>
              <w:rPr>
                <w:color w:val="26262A"/>
                <w:sz w:val="17"/>
              </w:rPr>
              <w:t>No</w:t>
            </w:r>
          </w:p>
        </w:tc>
        <w:tc>
          <w:tcPr>
            <w:tcW w:type="dxa" w:w="3969"/>
          </w:tcPr>
          <w:p>
            <w:r/>
            <w:r>
              <w:rPr>
                <w:color w:val="26262A"/>
                <w:sz w:val="17"/>
              </w:rPr>
              <w:t>Higher under Significant than Moderate scenarios</w:t>
            </w:r>
          </w:p>
        </w:tc>
      </w:tr>
      <w:tr>
        <w:tc>
          <w:tcPr>
            <w:tcW w:type="dxa" w:w="2551"/>
            <w:shd w:fill="F5F7FB"/>
          </w:tcPr>
          <w:p>
            <w:r/>
            <w:r>
              <w:rPr>
                <w:color w:val="26262A"/>
                <w:sz w:val="17"/>
              </w:rPr>
              <w:t>d_max(i) — Displacement ceiling</w:t>
            </w:r>
          </w:p>
        </w:tc>
        <w:tc>
          <w:tcPr>
            <w:tcW w:type="dxa" w:w="1134"/>
            <w:shd w:fill="F5F7FB"/>
          </w:tcPr>
          <w:p>
            <w:r/>
            <w:r>
              <w:rPr>
                <w:color w:val="26262A"/>
                <w:sz w:val="17"/>
              </w:rPr>
              <w:t>No</w:t>
            </w:r>
          </w:p>
        </w:tc>
        <w:tc>
          <w:tcPr>
            <w:tcW w:type="dxa" w:w="1417"/>
            <w:shd w:fill="F5F7FB"/>
          </w:tcPr>
          <w:p>
            <w:r/>
            <w:r>
              <w:rPr>
                <w:color w:val="26262A"/>
                <w:sz w:val="17"/>
              </w:rPr>
              <w:t>No</w:t>
            </w:r>
          </w:p>
        </w:tc>
        <w:tc>
          <w:tcPr>
            <w:tcW w:type="dxa" w:w="3969"/>
            <w:shd w:fill="F5F7FB"/>
          </w:tcPr>
          <w:p>
            <w:r/>
            <w:r>
              <w:rPr>
                <w:color w:val="26262A"/>
                <w:sz w:val="17"/>
              </w:rPr>
              <w:t>Fixed across all four scenarios</w:t>
            </w:r>
          </w:p>
        </w:tc>
      </w:tr>
      <w:tr>
        <w:tc>
          <w:tcPr>
            <w:tcW w:type="dxa" w:w="2551"/>
          </w:tcPr>
          <w:p>
            <w:r/>
            <w:r>
              <w:rPr>
                <w:color w:val="26262A"/>
                <w:sz w:val="17"/>
              </w:rPr>
              <w:t>E(i) — Elasticity dampener</w:t>
            </w:r>
          </w:p>
        </w:tc>
        <w:tc>
          <w:tcPr>
            <w:tcW w:type="dxa" w:w="1134"/>
          </w:tcPr>
          <w:p>
            <w:r/>
            <w:r>
              <w:rPr>
                <w:color w:val="26262A"/>
                <w:sz w:val="17"/>
              </w:rPr>
              <w:t>No</w:t>
            </w:r>
          </w:p>
        </w:tc>
        <w:tc>
          <w:tcPr>
            <w:tcW w:type="dxa" w:w="1417"/>
          </w:tcPr>
          <w:p>
            <w:r/>
            <w:r>
              <w:rPr>
                <w:color w:val="26262A"/>
                <w:sz w:val="17"/>
              </w:rPr>
              <w:t>No</w:t>
            </w:r>
          </w:p>
        </w:tc>
        <w:tc>
          <w:tcPr>
            <w:tcW w:type="dxa" w:w="3969"/>
          </w:tcPr>
          <w:p>
            <w:r/>
            <w:r>
              <w:rPr>
                <w:color w:val="26262A"/>
                <w:sz w:val="17"/>
              </w:rPr>
              <w:t>Fixed across all four scenarios</w:t>
            </w:r>
          </w:p>
        </w:tc>
      </w:tr>
      <w:tr>
        <w:tc>
          <w:tcPr>
            <w:tcW w:type="dxa" w:w="2551"/>
            <w:shd w:fill="F5F7FB"/>
          </w:tcPr>
          <w:p>
            <w:r/>
            <w:r>
              <w:rPr>
                <w:color w:val="26262A"/>
                <w:sz w:val="17"/>
              </w:rPr>
              <w:t>T(t; i, s) — Adoption velocity</w:t>
            </w:r>
          </w:p>
        </w:tc>
        <w:tc>
          <w:tcPr>
            <w:tcW w:type="dxa" w:w="1134"/>
            <w:shd w:fill="F5F7FB"/>
          </w:tcPr>
          <w:p>
            <w:r/>
            <w:r>
              <w:rPr>
                <w:color w:val="26262A"/>
                <w:sz w:val="17"/>
              </w:rPr>
              <w:t>Yes</w:t>
            </w:r>
          </w:p>
        </w:tc>
        <w:tc>
          <w:tcPr>
            <w:tcW w:type="dxa" w:w="1417"/>
            <w:shd w:fill="F5F7FB"/>
          </w:tcPr>
          <w:p>
            <w:r/>
            <w:r>
              <w:rPr>
                <w:color w:val="26262A"/>
                <w:sz w:val="17"/>
              </w:rPr>
              <w:t>Yes</w:t>
            </w:r>
          </w:p>
        </w:tc>
        <w:tc>
          <w:tcPr>
            <w:tcW w:type="dxa" w:w="3969"/>
            <w:shd w:fill="F5F7FB"/>
          </w:tcPr>
          <w:p>
            <w:r/>
            <w:r>
              <w:rPr>
                <w:color w:val="26262A"/>
                <w:sz w:val="17"/>
              </w:rPr>
              <w:t>Varies on both axes — fastest in Scenario 3, slowest in Scenario 2</w:t>
            </w:r>
          </w:p>
        </w:tc>
      </w:tr>
      <w:tr>
        <w:tc>
          <w:tcPr>
            <w:tcW w:type="dxa" w:w="2551"/>
          </w:tcPr>
          <w:p>
            <w:r/>
            <w:r>
              <w:rPr>
                <w:color w:val="26262A"/>
                <w:sz w:val="17"/>
              </w:rPr>
              <w:t>R(i) — Structural resistance</w:t>
            </w:r>
          </w:p>
        </w:tc>
        <w:tc>
          <w:tcPr>
            <w:tcW w:type="dxa" w:w="1134"/>
          </w:tcPr>
          <w:p>
            <w:r/>
            <w:r>
              <w:rPr>
                <w:color w:val="26262A"/>
                <w:sz w:val="17"/>
              </w:rPr>
              <w:t>No</w:t>
            </w:r>
          </w:p>
        </w:tc>
        <w:tc>
          <w:tcPr>
            <w:tcW w:type="dxa" w:w="1417"/>
          </w:tcPr>
          <w:p>
            <w:r/>
            <w:r>
              <w:rPr>
                <w:color w:val="26262A"/>
                <w:sz w:val="17"/>
              </w:rPr>
              <w:t>No</w:t>
            </w:r>
          </w:p>
        </w:tc>
        <w:tc>
          <w:tcPr>
            <w:tcW w:type="dxa" w:w="3969"/>
          </w:tcPr>
          <w:p>
            <w:r/>
            <w:r>
              <w:rPr>
                <w:color w:val="26262A"/>
                <w:sz w:val="17"/>
              </w:rPr>
              <w:t>Fixed across all four scenarios</w:t>
            </w:r>
          </w:p>
        </w:tc>
      </w:tr>
    </w:tbl>
    <w:p/>
    <w:p>
      <w:r>
        <w:t>The scenario framework enforces a monotonicity constraint: Significant capability scores must always be ≥ Moderate scores. More advanced AI cannot make a task less automatable. Similarly, low-friction scenarios must show adoption ≥ high-friction scenarios.</w:t>
      </w:r>
    </w:p>
    <w:p>
      <w:r>
        <w:br w:type="page"/>
      </w:r>
    </w:p>
    <w:p>
      <w:pPr>
        <w:pStyle w:val="Heading1"/>
      </w:pPr>
      <w:r>
        <w:t>8.  Validation &amp; Quality Assurance</w:t>
      </w:r>
    </w:p>
    <w:p>
      <w:r>
        <w:t>The model incorporates multiple layers of quality assurance to ensure scores are consistent, calibrated, and defensible.</w:t>
      </w:r>
    </w:p>
    <w:p>
      <w:pPr>
        <w:pStyle w:val="Heading2"/>
      </w:pPr>
      <w:r>
        <w:t>Programmatic Audit Checks</w:t>
      </w:r>
    </w:p>
    <w:p>
      <w:r>
        <w:rPr>
          <w:b/>
        </w:rPr>
        <w:t xml:space="preserve">Distribution skew:  </w:t>
      </w:r>
      <w:r>
        <w:t>No single variable has &gt;35% of scores concentrated at one anchor point. Ensures meaningful differentiation across occupations.</w:t>
      </w:r>
    </w:p>
    <w:p>
      <w:r>
        <w:rPr>
          <w:b/>
        </w:rPr>
        <w:t xml:space="preserve">Cross-variable correlation:  </w:t>
      </w:r>
      <w:r>
        <w:t>Correlation between workflow separability and substitutability must be ≤ 0.80. High correlation would indicate halo effects in scoring.</w:t>
      </w:r>
    </w:p>
    <w:p>
      <w:r>
        <w:rPr>
          <w:b/>
        </w:rPr>
        <w:t xml:space="preserve">SOC-group coherence:  </w:t>
      </w:r>
      <w:r>
        <w:t>Within 2-digit SOC occupation groups, standard deviation &lt; 0.40. Similar jobs should receive similar scores.</w:t>
      </w:r>
    </w:p>
    <w:p>
      <w:r>
        <w:rPr>
          <w:b/>
        </w:rPr>
        <w:t xml:space="preserve">Logical consistency:  </w:t>
      </w:r>
      <w:r>
        <w:t>Flags combinations like low substitutability + high workflow separability (tension between 'human IS the product' and 'tasks easily offloaded'), or high digital task share + low scalability (digital work that supposedly doesn't scale).</w:t>
      </w:r>
    </w:p>
    <w:p>
      <w:pPr>
        <w:pStyle w:val="Heading2"/>
      </w:pPr>
      <w:r>
        <w:t>Reliability Verification</w:t>
      </w:r>
    </w:p>
    <w:p>
      <w:r>
        <w:t>A stratified 10% sample of occupations (46 jobs, sampled proportionally across sectors) is independently re-scored. Agreement metrics ensure reproducibility:</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0F1E3E"/>
          </w:tcPr>
          <w:p>
            <w:pPr>
              <w:jc w:val="center"/>
            </w:pPr>
            <w:r/>
            <w:r>
              <w:rPr>
                <w:b/>
                <w:color w:val="FFFFFF"/>
                <w:sz w:val="18"/>
              </w:rPr>
              <w:t>Metric</w:t>
            </w:r>
          </w:p>
        </w:tc>
        <w:tc>
          <w:tcPr>
            <w:tcW w:type="dxa" w:w="1701"/>
            <w:shd w:fill="0F1E3E"/>
          </w:tcPr>
          <w:p>
            <w:pPr>
              <w:jc w:val="center"/>
            </w:pPr>
            <w:r/>
            <w:r>
              <w:rPr>
                <w:b/>
                <w:color w:val="FFFFFF"/>
                <w:sz w:val="18"/>
              </w:rPr>
              <w:t>Threshold</w:t>
            </w:r>
          </w:p>
        </w:tc>
        <w:tc>
          <w:tcPr>
            <w:tcW w:type="dxa" w:w="4819"/>
            <w:shd w:fill="0F1E3E"/>
          </w:tcPr>
          <w:p>
            <w:pPr>
              <w:jc w:val="center"/>
            </w:pPr>
            <w:r/>
            <w:r>
              <w:rPr>
                <w:b/>
                <w:color w:val="FFFFFF"/>
                <w:sz w:val="18"/>
              </w:rPr>
              <w:t>What It Measures</w:t>
            </w:r>
          </w:p>
        </w:tc>
      </w:tr>
      <w:tr>
        <w:tc>
          <w:tcPr>
            <w:tcW w:type="dxa" w:w="2551"/>
          </w:tcPr>
          <w:p>
            <w:r/>
            <w:r>
              <w:rPr>
                <w:color w:val="26262A"/>
                <w:sz w:val="17"/>
              </w:rPr>
              <w:t>Weighted Quadratic Kappa</w:t>
            </w:r>
          </w:p>
        </w:tc>
        <w:tc>
          <w:tcPr>
            <w:tcW w:type="dxa" w:w="1701"/>
          </w:tcPr>
          <w:p>
            <w:r/>
            <w:r>
              <w:rPr>
                <w:color w:val="26262A"/>
                <w:sz w:val="17"/>
              </w:rPr>
              <w:t>κ ≥ 0.75</w:t>
            </w:r>
          </w:p>
        </w:tc>
        <w:tc>
          <w:tcPr>
            <w:tcW w:type="dxa" w:w="4819"/>
          </w:tcPr>
          <w:p>
            <w:r/>
            <w:r>
              <w:rPr>
                <w:color w:val="26262A"/>
                <w:sz w:val="17"/>
              </w:rPr>
              <w:t>Agreement beyond chance, weighted by distance between scores</w:t>
            </w:r>
          </w:p>
        </w:tc>
      </w:tr>
      <w:tr>
        <w:tc>
          <w:tcPr>
            <w:tcW w:type="dxa" w:w="2551"/>
            <w:shd w:fill="F5F7FB"/>
          </w:tcPr>
          <w:p>
            <w:r/>
            <w:r>
              <w:rPr>
                <w:color w:val="26262A"/>
                <w:sz w:val="17"/>
              </w:rPr>
              <w:t>Within-One-Step Agreement</w:t>
            </w:r>
          </w:p>
        </w:tc>
        <w:tc>
          <w:tcPr>
            <w:tcW w:type="dxa" w:w="1701"/>
            <w:shd w:fill="F5F7FB"/>
          </w:tcPr>
          <w:p>
            <w:r/>
            <w:r>
              <w:rPr>
                <w:color w:val="26262A"/>
                <w:sz w:val="17"/>
              </w:rPr>
              <w:t>≥ 90%</w:t>
            </w:r>
          </w:p>
        </w:tc>
        <w:tc>
          <w:tcPr>
            <w:tcW w:type="dxa" w:w="4819"/>
            <w:shd w:fill="F5F7FB"/>
          </w:tcPr>
          <w:p>
            <w:r/>
            <w:r>
              <w:rPr>
                <w:color w:val="26262A"/>
                <w:sz w:val="17"/>
              </w:rPr>
              <w:t>Re-scored value within one scale step of original</w:t>
            </w:r>
          </w:p>
        </w:tc>
      </w:tr>
      <w:tr>
        <w:tc>
          <w:tcPr>
            <w:tcW w:type="dxa" w:w="2551"/>
          </w:tcPr>
          <w:p>
            <w:r/>
            <w:r>
              <w:rPr>
                <w:color w:val="26262A"/>
                <w:sz w:val="17"/>
              </w:rPr>
              <w:t>Exact Agreement</w:t>
            </w:r>
          </w:p>
        </w:tc>
        <w:tc>
          <w:tcPr>
            <w:tcW w:type="dxa" w:w="1701"/>
          </w:tcPr>
          <w:p>
            <w:r/>
            <w:r>
              <w:rPr>
                <w:color w:val="26262A"/>
                <w:sz w:val="17"/>
              </w:rPr>
              <w:t>≥ 65%</w:t>
            </w:r>
          </w:p>
        </w:tc>
        <w:tc>
          <w:tcPr>
            <w:tcW w:type="dxa" w:w="4819"/>
          </w:tcPr>
          <w:p>
            <w:r/>
            <w:r>
              <w:rPr>
                <w:color w:val="26262A"/>
                <w:sz w:val="17"/>
              </w:rPr>
              <w:t>Re-scored value matches original exactly</w:t>
            </w:r>
          </w:p>
        </w:tc>
      </w:tr>
    </w:tbl>
    <w:p>
      <w:pPr>
        <w:pStyle w:val="Heading2"/>
      </w:pPr>
      <w:r>
        <w:t>Scenario Monotonicity</w:t>
      </w:r>
    </w:p>
    <w:p>
      <w:r>
        <w:t>All task and job scores are verified to satisfy: Significant ≥ Moderate for every occupation. Any violations are investigated and corrected. This is not just a data check — it is a logical constraint of the model. More advanced AI capability cannot reduce automation potential.</w:t>
      </w:r>
    </w:p>
    <w:p>
      <w:r>
        <w:br w:type="page"/>
      </w:r>
    </w:p>
    <w:p>
      <w:pPr>
        <w:pStyle w:val="Heading1"/>
      </w:pPr>
      <w:r>
        <w:t>9.  Key Design Principles</w:t>
      </w:r>
    </w:p>
    <w:p>
      <w:pPr>
        <w:spacing w:after="160"/>
      </w:pPr>
      <w:r>
        <w:rPr>
          <w:b/>
          <w:color w:val="0F1E3E"/>
        </w:rPr>
        <w:t xml:space="preserve">Multiplicative, not additive.  </w:t>
      </w:r>
      <w:r>
        <w:t>Every factor in the master equation acts as a gate. A single bottleneck — workflow inseparability, regulatory resistance, slow adoption — is sufficient to compress displacement toward zero. This prevents the model from generating implausible estimates driven by one dominant factor.</w:t>
      </w:r>
    </w:p>
    <w:p>
      <w:pPr>
        <w:spacing w:after="160"/>
      </w:pPr>
      <w:r>
        <w:rPr>
          <w:b/>
          <w:color w:val="0F1E3E"/>
        </w:rPr>
        <w:t xml:space="preserve">Bottom-up, not top-down.  </w:t>
      </w:r>
      <w:r>
        <w:t>Displacement estimates are built from 5,383 individual task scores, not from assumptions about industries or job categories. The macro forecast is an emergent property of micro-level assessments.</w:t>
      </w:r>
    </w:p>
    <w:p>
      <w:pPr>
        <w:spacing w:after="160"/>
      </w:pPr>
      <w:r>
        <w:rPr>
          <w:b/>
          <w:color w:val="0F1E3E"/>
        </w:rPr>
        <w:t xml:space="preserve">Scenarios, not predictions.  </w:t>
      </w:r>
      <w:r>
        <w:t>The model does not claim to know which future will materialize. It brackets the range of plausible outcomes across two independent axes of uncertainty, allowing clients to stress-test their workforce strategies.</w:t>
      </w:r>
    </w:p>
    <w:p>
      <w:pPr>
        <w:spacing w:after="160"/>
      </w:pPr>
      <w:r>
        <w:rPr>
          <w:b/>
          <w:color w:val="0F1E3E"/>
        </w:rPr>
        <w:t xml:space="preserve">Independent reasoning to prevent halo effects.  </w:t>
      </w:r>
      <w:r>
        <w:t>Each scoring variable uses forced independent reasoning blocks. Agents must justify workflow separability without reference to scalability, and vice versa. Construct-specific task features are curated per variable to avoid contamination.</w:t>
      </w:r>
    </w:p>
    <w:p>
      <w:pPr>
        <w:spacing w:after="160"/>
      </w:pPr>
      <w:r>
        <w:rPr>
          <w:b/>
          <w:color w:val="0F1E3E"/>
        </w:rPr>
        <w:t xml:space="preserve">Human-IS-the-product vs. human preference.  </w:t>
      </w:r>
      <w:r>
        <w:t>The model draws a sharp line between intrinsic human necessity (x_sub = 0, the human IS the product — e.g., therapy, pastoral care, live performance) and customer preference (T3 — customers aren't yet willing to accept AI, but this preference can erode). The first is structural; the second is temporal.</w:t>
      </w:r>
    </w:p>
    <w:p>
      <w:pPr>
        <w:spacing w:after="160"/>
      </w:pPr>
      <w:r>
        <w:rPr>
          <w:b/>
          <w:color w:val="0F1E3E"/>
        </w:rPr>
        <w:t xml:space="preserve">Historical grounding.  </w:t>
      </w:r>
      <w:r>
        <w:t>Displacement ceilings (d_max) are anchored to observed labor market dynamics, not theoretical maxima. The model cannot generate displacement rates faster than any industry has ever experienced, regardless of AI capability.</w:t>
      </w:r>
    </w:p>
    <w:p>
      <w:pPr>
        <w:spacing w:after="160"/>
      </w:pPr>
      <w:r>
        <w:rPr>
          <w:b/>
          <w:color w:val="0F1E3E"/>
        </w:rPr>
        <w:t xml:space="preserve">Conservative by design.  </w:t>
      </w:r>
      <w:r>
        <w:t>The multiplicative structure, sigmoid compression, historical ceilings, and friction gates all push estimates toward the conservative end. The model is calibrated to avoid false alarms while still surfacing genuine vulnerability.</w:t>
      </w:r>
    </w:p>
    <w:p/>
    <w:p/>
    <w:p>
      <w:pPr>
        <w:jc w:val="center"/>
      </w:pPr>
      <w:r>
        <w:rPr>
          <w:i/>
          <w:color w:val="949BA8"/>
          <w:sz w:val="18"/>
        </w:rPr>
        <w:t>— End of Methodology Appendix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626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1E3E"/>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1E3E"/>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