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1A202C"/>
          <w:sz w:val="36"/>
        </w:rPr>
        <w:t>荣熙共赢私募证券投资基金</w:t>
      </w:r>
    </w:p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1A365D"/>
          <w:sz w:val="28"/>
        </w:rPr>
        <w:t>2026年第三季度投资报告</w:t>
      </w:r>
    </w:p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 w:val="0"/>
          <w:color w:val="718096"/>
          <w:sz w:val="21"/>
        </w:rPr>
        <w:t>报告期  2026年7月1日  至  2026年9月30日</w:t>
      </w:r>
    </w:p>
    <w:p>
      <w:pPr>
        <w:spacing w:before="0" w:after="0" w:line="240" w:lineRule="auto"/>
        <w:jc w:val="center"/>
      </w:pPr>
      <w:r>
        <w:rPr>
          <w:rFonts w:ascii="微软雅黑" w:hAnsi="微软雅黑" w:eastAsia="微软雅黑" w:cs="微软雅黑"/>
          <w:b w:val="0"/>
          <w:color w:val="4A5568"/>
          <w:sz w:val="18"/>
        </w:rPr>
        <w:t>管理人  上海荣熙私募基金管理有限公司          投资经理  陈家本</w:t>
      </w:r>
    </w:p>
    <w:p>
      <w:pPr>
        <w:spacing w:before="0" w:after="120" w:line="240" w:lineRule="auto"/>
        <w:jc w:val="center"/>
        <w:pBdr>
          <w:bottom w:val="single" w:sz="8" w:space="1" w:color="E2E8F0"/>
        </w:pBdr>
      </w:pPr>
      <w:r>
        <w:rPr>
          <w:rFonts w:ascii="微软雅黑" w:hAnsi="微软雅黑" w:eastAsia="微软雅黑" w:cs="微软雅黑"/>
          <w:b w:val="0"/>
          <w:color w:val="4A5568"/>
          <w:sz w:val="18"/>
        </w:rPr>
        <w:t>托管人  招商证券股份有限公司          成立时间  2026年1月20日</w:t>
      </w:r>
    </w:p>
    <w:p>
      <w:pPr>
        <w:spacing w:before="40" w:after="4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一、致投资人</w:t>
      </w:r>
    </w:p>
    <w:p>
      <w:pPr>
        <w:spacing w:before="40" w:after="8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共赢FOF三季度的配置整体变化不大，核心持仓为50%的打板策略，叠加宏观交易与主观期货策略各15%，剩余20%为卫星持仓。</w:t>
      </w:r>
    </w:p>
    <w:p>
      <w:pPr>
        <w:spacing w:before="0" w:after="12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股票与期货市场回顾、前三大持仓表现及后市展望见后文。</w:t>
      </w:r>
    </w:p>
    <w:p>
      <w:pPr>
        <w:spacing w:before="80" w:after="4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二、本产品本季度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以下只列荣熙共赢本季度业绩，对应投资者所持份额。详表见后文本季度业绩。</w:t>
      </w:r>
    </w:p>
    <w:tbl>
      <w:tblPr>
        <w:jc w:val="center"/>
        <w:tblLook w:firstColumn="1" w:firstRow="1" w:lastColumn="0" w:lastRow="0" w:noHBand="0" w:noVBand="1" w:val="04A0"/>
        <w:tblW w:w="997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00"/>
        <w:gridCol w:w="6370"/>
      </w:tblGrid>
      <w:tr>
        <w:trPr>
          <w:cantSplit/>
          <w:cantSplit/>
        </w:trPr>
        <w:tc>
          <w:tcPr>
            <w:shd w:val="clear" w:color="auto" w:fill="1A365D"/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shd w:val="clear" w:color="auto" w:fill="1A365D"/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荣熙共赢  7月1日–9月30日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期末单位净值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0.9746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区间收益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365D"/>
                <w:sz w:val="18"/>
              </w:rPr>
              <w:t>-6.49%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年化波动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12.08%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最大回撤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365D"/>
                <w:sz w:val="18"/>
              </w:rPr>
              <w:t>-6.49%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同期沪深300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-10.01%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相对沪深300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365D"/>
                <w:sz w:val="18"/>
              </w:rPr>
              <w:t>+3.91%</w:t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2D3748"/>
          <w:sz w:val="18"/>
        </w:rPr>
        <w:t>本产品于2026年1月20日成立，运作时间较短。文末补充同一策略自2020年4月3日起的历史业绩，供了解策略过往表现。</w:t>
      </w:r>
    </w:p>
    <w:p>
      <w:pPr>
        <w:pageBreakBefore/>
        <w:spacing w:before="0" w:after="8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三、共赢FOF季度回顾与展望</w:t>
      </w:r>
    </w:p>
    <w:p>
      <w:pPr>
        <w:spacing w:before="40" w:after="12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股票市场，7月份科技抱团瓦解，市场大幅缩量下跌，同期沪深300回调近8%；8月市场在短暂弱反弹后继续向下，9月大盘最低下探到3800点附近，市场情绪极为悲观。打板策略在7月份市场急跌时相对抗跌，但在8-9月份震荡下跌过程中持续磨损；而多数打板策略在上半年高流动性环境中又超募了不少规模，导致了此次超预期的回撤。从市场成交量来看，今年6月22日创下3.74万亿的天量后Q3持续缩量，短线打板策略缺少承接资金，热点轮动快缺乏持续性，不利于打板策略表现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09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itup_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0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1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turn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1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期货市场，三季度商品期货市场整体走强，南华商品指数季末收于186.57点，较6月末上涨8%；其中能化受美伊战争影响持续领涨，贵金属与有色震荡上涨，黑色板块焦煤上演逼空行情，农产品涨跌不一。三季度行情非常利于量化CTA策略表现，主观基本面交易难度极大，组合中期货策略整体是正向贡献，宏观交易策略回撤明显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7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hua_sect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从组合配置上来看，打板策略只依赖于股票市场短线情绪，与A股大盘指数以及其他策略相关性都较低；主观期货策略因为自身多空双向交易，品种非常分散，也并非跟随南华商品指数波动；只有宏观交易型策略，在今年高波动的宏观环境中出现极度不适，与黄金+股指的beta波动相关性较强，交易alpha为负，对组合拖累较大。组合前三大持仓（30%+15%+15%=60%仓位占比）基金表现如下：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974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holdings_month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97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1142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holdings_cor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4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展望后市，美伊战争终将结束，高油价带来的通胀缓解，加息预期减弱，宏观扰动将会告一段落，但商品市场大概率会继续维持高波动，组合也将择机提升量化CTA配比；A股市场随着三季报陆续披露，市场有望迎来新的热点题材，整个指数的跨年行情同样值得期待，组合计划适当降低打板策略权重，回归均衡配置，加入中性对冲、红利低波等低相关策略，提升组合抗风险能力。在接下里的几个月内，我们团队将会更加专注更加紧密地跟踪市场环境变化，积极调整组合配置，争取尽快修复回撤。最后感谢各位投资人一直以来的理解与包容！</w:t>
      </w:r>
    </w:p>
    <w:p>
      <w:pPr>
        <w:pageBreakBefore/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四、荣熙共赢本季度业绩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下图为本季度持有期业绩，对应投资者所持份额。报告期 2026年7月1日至2026年9月30日，期末单位净值 0.9746。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7734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5页_产品持有期业绩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73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五、同策略历史业绩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下图为同一策略自2020年4月3日至2026年9月30日的历史业绩，补充产品成立以来较短的记录，供了解策略过往表现。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12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6页_同策略历史业绩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12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79" w:left="964" w:header="255" w:footer="18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 w:after="0"/>
      <w:jc w:val="center"/>
    </w:pPr>
    <w:r>
      <w:rPr>
        <w:rFonts w:ascii="微软雅黑" w:hAnsi="微软雅黑" w:eastAsia="微软雅黑" w:cs="微软雅黑"/>
        <w:b w:val="0"/>
        <w:color w:val="718096"/>
        <w:sz w:val="15"/>
      </w:rPr>
      <w:t>风险提示：本报告仅供指定机构投资者参考，不构成投资建议、要约或承诺。私募基金有投资风险，管理人过往业绩不预示未来表现。</w:t>
    </w:r>
  </w:p>
  <w:p>
    <w:pPr>
      <w:spacing w:before="0" w:after="0"/>
      <w:jc w:val="center"/>
    </w:pPr>
    <w:r>
      <w:rPr>
        <w:rFonts w:ascii="微软雅黑" w:hAnsi="微软雅黑" w:eastAsia="微软雅黑" w:cs="微软雅黑"/>
        <w:b w:val="0"/>
        <w:color w:val="718096"/>
        <w:sz w:val="16"/>
      </w:rPr>
      <w:t xml:space="preserve">数据截止日 2026年9月30日  ·  第 </w:t>
    </w:r>
    <w:r>
      <w:rPr>
        <w:rFonts w:ascii="微软雅黑" w:hAnsi="微软雅黑" w:eastAsia="微软雅黑" w:cs="微软雅黑"/>
        <w:b w:val="0"/>
        <w:color w:val="718096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718096"/>
        <w:sz w:val="16"/>
      </w:rPr>
      <w:t xml:space="preserve"> 页 / 共 </w:t>
    </w:r>
    <w:r>
      <w:rPr>
        <w:rFonts w:ascii="微软雅黑" w:hAnsi="微软雅黑" w:eastAsia="微软雅黑" w:cs="微软雅黑"/>
        <w:b w:val="0"/>
        <w:color w:val="718096"/>
        <w:sz w:val="16"/>
      </w:rPr>
      <w:fldChar w:fldCharType="begin"/>
      <w:instrText xml:space="preserve"> NUMPAGES </w:instrText>
      <w:fldChar w:fldCharType="end"/>
    </w:r>
    <w:r>
      <w:rPr>
        <w:rFonts w:ascii="微软雅黑" w:hAnsi="微软雅黑" w:eastAsia="微软雅黑" w:cs="微软雅黑"/>
        <w:b w:val="0"/>
        <w:color w:val="71809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/>
      <w:pBdr>
        <w:bottom w:val="single" w:sz="12" w:space="1" w:color="C53030"/>
      </w:pBdr>
    </w:pPr>
    <w:r>
      <w:rPr>
        <w:rFonts w:ascii="微软雅黑" w:hAnsi="微软雅黑" w:eastAsia="微软雅黑" w:cs="微软雅黑"/>
        <w:b w:val="0"/>
        <w:color w:val="718096"/>
        <w:sz w:val="16"/>
      </w:rPr>
      <w:t>CONFIDENTIAL  ·  仅供指定机构投资者</w:t>
    </w:r>
    <w:r>
      <w:rPr>
        <w:rFonts w:ascii="微软雅黑" w:hAnsi="微软雅黑" w:eastAsia="微软雅黑" w:cs="微软雅黑"/>
        <w:b/>
        <w:color w:val="1A365D"/>
        <w:sz w:val="16"/>
      </w:rPr>
      <w:t xml:space="preserve">          上海荣熙私募基金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荣熙共赢私募证券投资基金 2026年第三季度投资报告</dc:title>
  <dc:subject>共赢FOF三季度回顾、本季度业绩与同策略历史净值</dc:subject>
  <dc:creator>上海荣熙私募基金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季度投资报告</cp:category>
</cp:coreProperties>
</file>