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1A202C"/>
          <w:sz w:val="36"/>
        </w:rPr>
        <w:t>金舆追风1号私募证券投资基金</w:t>
      </w:r>
    </w:p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/>
          <w:color w:val="1A365D"/>
          <w:sz w:val="28"/>
        </w:rPr>
        <w:t>2026年第三季度投资报告</w:t>
      </w:r>
    </w:p>
    <w:p>
      <w:pPr>
        <w:spacing w:before="0" w:after="20" w:line="240" w:lineRule="auto"/>
        <w:jc w:val="center"/>
      </w:pPr>
      <w:r>
        <w:rPr>
          <w:rFonts w:ascii="微软雅黑" w:hAnsi="微软雅黑" w:eastAsia="微软雅黑" w:cs="微软雅黑"/>
          <w:b w:val="0"/>
          <w:color w:val="718096"/>
          <w:sz w:val="21"/>
        </w:rPr>
        <w:t>持有期  2026年7月15日  至  2026年9月30日</w:t>
      </w:r>
    </w:p>
    <w:p>
      <w:pPr>
        <w:spacing w:before="0" w:after="0" w:line="240" w:lineRule="auto"/>
        <w:jc w:val="center"/>
      </w:pPr>
      <w:r>
        <w:rPr>
          <w:rFonts w:ascii="微软雅黑" w:hAnsi="微软雅黑" w:eastAsia="微软雅黑" w:cs="微软雅黑"/>
          <w:b w:val="0"/>
          <w:color w:val="4A5568"/>
          <w:sz w:val="18"/>
        </w:rPr>
        <w:t>管理人  上海金舆资产管理有限公司          投资经理  陈家本</w:t>
      </w:r>
    </w:p>
    <w:p>
      <w:pPr>
        <w:spacing w:before="0" w:after="120" w:line="240" w:lineRule="auto"/>
        <w:jc w:val="center"/>
        <w:pBdr>
          <w:bottom w:val="single" w:sz="8" w:space="1" w:color="E2E8F0"/>
        </w:pBdr>
      </w:pPr>
      <w:r>
        <w:rPr>
          <w:rFonts w:ascii="微软雅黑" w:hAnsi="微软雅黑" w:eastAsia="微软雅黑" w:cs="微软雅黑"/>
          <w:b w:val="0"/>
          <w:color w:val="4A5568"/>
          <w:sz w:val="18"/>
        </w:rPr>
        <w:t>托管人  招商证券股份有限公司          成立时间  2026年7月15日</w:t>
      </w:r>
    </w:p>
    <w:p>
      <w:pPr>
        <w:spacing w:before="40" w:after="4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一、致投资人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/>
          <w:color w:val="1A202C"/>
          <w:sz w:val="21"/>
        </w:rPr>
        <w:t>各位投资人：</w:t>
      </w:r>
    </w:p>
    <w:p>
      <w:pPr>
        <w:spacing w:before="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今年三季度，我们FOF下投的强势股打板策略经历了较长的不适应期，导致母基金出现了4%左右的回撤。</w:t>
      </w:r>
    </w:p>
    <w:p>
      <w:pPr>
        <w:spacing w:before="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主要原因是当前市场资金缺乏主线，连续下跌使得交易量大幅萎缩，强势股接力资金匮乏，导致打板赛道需要的连板投机情绪退潮，次日低开率显著飙升，这也是打板策略最艰难的阶段。</w:t>
      </w:r>
    </w:p>
    <w:p>
      <w:pPr>
        <w:spacing w:before="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此外，沪深两市近期要求整改托管服务器，对打板策略的报单时效也产生了一些干扰。</w:t>
      </w:r>
    </w:p>
    <w:p>
      <w:pPr>
        <w:spacing w:before="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面对以上情况，底层子基金正在努力尝试以下几点应对措施：</w:t>
      </w:r>
    </w:p>
    <w:p>
      <w:pPr>
        <w:spacing w:before="20" w:after="40" w:line="240" w:lineRule="auto"/>
        <w:ind w:left="142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1.  优化选股模型，提高对封单量、超大单排撤、异动指数等因子的筛选阈值，努力过滤掉“量化陷阱”，提高封板率。</w:t>
      </w:r>
    </w:p>
    <w:p>
      <w:pPr>
        <w:spacing w:before="20" w:after="40" w:line="240" w:lineRule="auto"/>
        <w:ind w:left="142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2.  控制仓位，灵活调整打板时机：面对成交量显著萎缩的市场行情，充分发挥我们自研“打板启停开关”的避险作用，尽量少亏钱，保住现有净值。</w:t>
      </w:r>
    </w:p>
    <w:p>
      <w:pPr>
        <w:spacing w:before="20" w:after="40" w:line="240" w:lineRule="auto"/>
        <w:ind w:left="142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3.  耐心等待，择机用奇：历史经验告诉我们，没有永远有效的策略，也没有永远退潮的市场。打板策略本身挣的就是“市场情绪的溢价收益”，每一次情绪的冰点，都是下一轮行情的开始。一旦市场情绪回暖、打板生态恢复，我们将即刻把握机会，尽最大努力收复失地。</w:t>
      </w:r>
    </w:p>
    <w:p>
      <w:pPr>
        <w:spacing w:before="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1A202C"/>
          <w:sz w:val="21"/>
        </w:rPr>
        <w:t>艰难的三季度已经过去，希望投资人再多给我们一些时间去修复净值。最后，感谢大家的理解与陪伴，如有需要，欢迎联系！</w:t>
      </w:r>
    </w:p>
    <w:p>
      <w:pPr>
        <w:spacing w:before="80" w:after="4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二、本产品本季度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以下只列金舆追风1号持有期业绩，对应投资者所持份额。详表见后页。</w:t>
      </w:r>
    </w:p>
    <w:tbl>
      <w:tblPr>
        <w:jc w:val="center"/>
        <w:tblLook w:firstColumn="1" w:firstRow="1" w:lastColumn="0" w:lastRow="0" w:noHBand="0" w:noVBand="1" w:val="04A0"/>
        <w:tblW w:w="997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00"/>
        <w:gridCol w:w="6370"/>
      </w:tblGrid>
      <w:tr>
        <w:trPr>
          <w:cantSplit/>
        </w:trPr>
        <w:tc>
          <w:tcPr>
            <w:shd w:val="clear" w:color="auto" w:fill="1A365D"/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shd w:val="clear" w:color="auto" w:fill="1A365D"/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金舆追风1号  7月15日–9月30日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期末单位净值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0.9607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区间收益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365D"/>
                <w:sz w:val="18"/>
              </w:rPr>
              <w:t>-3.92%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年化波动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5.54%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最大回撤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365D"/>
                <w:sz w:val="18"/>
              </w:rPr>
              <w:t>-3.92%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DF2F7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同期沪深300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FFFFFF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202C"/>
                <w:sz w:val="18"/>
              </w:rPr>
              <w:t>-3.79%</w:t>
            </w:r>
          </w:p>
        </w:tc>
      </w:tr>
      <w:tr>
        <w:trPr>
          <w:cantSplit/>
        </w:trPr>
        <w:tc>
          <w:tcPr>
            <w:tcW w:w="360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1A202C"/>
                <w:sz w:val="18"/>
              </w:rPr>
              <w:t>相对沪深300</w:t>
            </w:r>
          </w:p>
        </w:tc>
        <w:tc>
          <w:tcPr>
            <w:tcW w:w="6370" w:type="dxa"/>
            <w:tcMar>
              <w:top w:w="10" w:type="dxa"/>
              <w:left w:w="46" w:type="dxa"/>
              <w:bottom w:w="10" w:type="dxa"/>
              <w:right w:w="46" w:type="dxa"/>
            </w:tcMar>
            <w:vAlign w:val="center"/>
            <w:shd w:val="clear" w:color="auto" w:fill="E8EEF6"/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365D"/>
                <w:sz w:val="18"/>
              </w:rPr>
              <w:t>-0.14%</w:t>
            </w:r>
          </w:p>
        </w:tc>
      </w:tr>
    </w:tbl>
    <w:p>
      <w:pPr>
        <w:spacing w:before="120" w:after="40" w:line="240" w:lineRule="auto"/>
        <w:jc w:val="left"/>
      </w:pPr>
      <w:r>
        <w:rPr>
          <w:rFonts w:ascii="微软雅黑" w:hAnsi="微软雅黑" w:eastAsia="微软雅黑" w:cs="微软雅黑"/>
          <w:b w:val="0"/>
          <w:color w:val="2D3748"/>
          <w:sz w:val="18"/>
        </w:rPr>
        <w:t>本产品于2026年7月15日成立，运作时间较短。后页补充同一策略自2023年12月29日起的历史业绩，供了解策略过往表现。</w:t>
      </w:r>
    </w:p>
    <w:p>
      <w:pPr>
        <w:pageBreakBefore/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三、金舆追风1号持有期业绩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下图为已出具的产品持有期报告，对应投资者所持份额。持有期 2026年7月15日至2026年9月30日，期末单位净值 0.9607。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7734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2页_产品持有期业绩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73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20" w:line="240" w:lineRule="auto"/>
        <w:jc w:val="left"/>
      </w:pPr>
      <w:r>
        <w:rPr>
          <w:rFonts w:ascii="微软雅黑" w:hAnsi="微软雅黑" w:eastAsia="微软雅黑" w:cs="微软雅黑"/>
          <w:b/>
          <w:color w:val="1A365D"/>
          <w:sz w:val="26"/>
        </w:rPr>
        <w:t>四、同策略历史业绩</w:t>
      </w:r>
    </w:p>
    <w:p>
      <w:pPr>
        <w:spacing w:before="0" w:after="60" w:line="240" w:lineRule="auto"/>
        <w:jc w:val="left"/>
      </w:pPr>
      <w:r>
        <w:rPr>
          <w:rFonts w:ascii="微软雅黑" w:hAnsi="微软雅黑" w:eastAsia="微软雅黑" w:cs="微软雅黑"/>
          <w:b w:val="0"/>
          <w:color w:val="718096"/>
          <w:sz w:val="18"/>
        </w:rPr>
        <w:t>下图为同一策略自2023年12月29日至2026年9月30日的历史业绩，补充产品成立以来较短的记录，供了解策略过往表现。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8141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3页_同策略历史业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12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79" w:left="964" w:header="255" w:footer="18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0" w:after="0"/>
      <w:jc w:val="center"/>
    </w:pPr>
    <w:r>
      <w:rPr>
        <w:rFonts w:ascii="微软雅黑" w:hAnsi="微软雅黑" w:eastAsia="微软雅黑" w:cs="微软雅黑"/>
        <w:b w:val="0"/>
        <w:color w:val="718096"/>
        <w:sz w:val="15"/>
      </w:rPr>
      <w:t>风险提示：本报告仅供指定机构投资者参考，不构成投资建议、要约或承诺。私募基金有投资风险，管理人过往业绩不预示未来表现。</w:t>
    </w:r>
  </w:p>
  <w:p>
    <w:pPr>
      <w:spacing w:before="0" w:after="0"/>
      <w:jc w:val="center"/>
    </w:pPr>
    <w:r>
      <w:rPr>
        <w:rFonts w:ascii="微软雅黑" w:hAnsi="微软雅黑" w:eastAsia="微软雅黑" w:cs="微软雅黑"/>
        <w:b w:val="0"/>
        <w:color w:val="718096"/>
        <w:sz w:val="16"/>
      </w:rPr>
      <w:t xml:space="preserve">数据截止日 2026年9月30日  ·  第 </w:t>
    </w:r>
    <w:r>
      <w:rPr>
        <w:rFonts w:ascii="微软雅黑" w:hAnsi="微软雅黑" w:eastAsia="微软雅黑" w:cs="微软雅黑"/>
        <w:b w:val="0"/>
        <w:color w:val="718096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718096"/>
        <w:sz w:val="16"/>
      </w:rPr>
      <w:t xml:space="preserve"> 页 / 共 </w:t>
    </w:r>
    <w:r>
      <w:rPr>
        <w:rFonts w:ascii="微软雅黑" w:hAnsi="微软雅黑" w:eastAsia="微软雅黑" w:cs="微软雅黑"/>
        <w:b w:val="0"/>
        <w:color w:val="718096"/>
        <w:sz w:val="16"/>
      </w:rPr>
      <w:fldChar w:fldCharType="begin"/>
      <w:instrText xml:space="preserve"> NUMPAGES </w:instrText>
      <w:fldChar w:fldCharType="end"/>
    </w:r>
    <w:r>
      <w:rPr>
        <w:rFonts w:ascii="微软雅黑" w:hAnsi="微软雅黑" w:eastAsia="微软雅黑" w:cs="微软雅黑"/>
        <w:b w:val="0"/>
        <w:color w:val="71809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20"/>
      <w:pBdr>
        <w:bottom w:val="single" w:sz="12" w:space="1" w:color="C53030"/>
      </w:pBdr>
    </w:pPr>
    <w:r>
      <w:rPr>
        <w:rFonts w:ascii="微软雅黑" w:hAnsi="微软雅黑" w:eastAsia="微软雅黑" w:cs="微软雅黑"/>
        <w:b w:val="0"/>
        <w:color w:val="718096"/>
        <w:sz w:val="16"/>
      </w:rPr>
      <w:t>CONFIDENTIAL  ·  仅供指定机构投资者</w:t>
    </w:r>
    <w:r>
      <w:rPr>
        <w:rFonts w:ascii="微软雅黑" w:hAnsi="微软雅黑" w:eastAsia="微软雅黑" w:cs="微软雅黑"/>
        <w:b/>
        <w:color w:val="1A365D"/>
        <w:sz w:val="16"/>
      </w:rPr>
      <w:t xml:space="preserve">          上海金舆资产管理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1A202C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金舆追风1号私募证券投资基金 2026年第三季度投资报告</dc:title>
  <dc:subject>投资说明、产品持有期业绩与同策略历史净值</dc:subject>
  <dc:creator>上海金舆资产管理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季度投资报告</cp:category>
</cp:coreProperties>
</file>