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200" w:after="80" w:line="360" w:lineRule="auto"/>
        <w:jc w:val="center"/>
      </w:pPr>
      <w:r>
        <w:rPr>
          <w:rFonts w:ascii="微软雅黑" w:hAnsi="微软雅黑" w:eastAsia="微软雅黑"/>
          <w:sz w:val="40"/>
          <w:szCs w:val="40"/>
          <w:b/>
          <w:color w:val="1F4E79"/>
        </w:rPr>
        <w:t xml:space="preserve">私募基金净值与火富牛跟踪对照报告</w:t>
      </w:r>
    </w:p>
    <w:p>
      <w:pPr>
        <w:spacing w:before="0" w:after="40" w:line="360" w:lineRule="auto"/>
        <w:jc w:val="center"/>
      </w:pPr>
      <w:r>
        <w:rPr>
          <w:rFonts w:ascii="微软雅黑" w:hAnsi="微软雅黑" w:eastAsia="微软雅黑"/>
          <w:sz w:val="22"/>
          <w:szCs w:val="22"/>
          <w:color w:val="5B5B5B"/>
        </w:rPr>
        <w:t xml:space="preserve">团队跟踪名单 × outside_data 私募基金清单 × 数据库</w:t>
      </w:r>
    </w:p>
    <w:p>
      <w:pPr>
        <w:spacing w:before="0" w:after="200" w:line="360" w:lineRule="auto"/>
        <w:jc w:val="center"/>
      </w:pPr>
      <w:r>
        <w:rPr>
          <w:rFonts w:ascii="微软雅黑" w:hAnsi="微软雅黑" w:eastAsia="微软雅黑"/>
          <w:sz w:val="20"/>
          <w:szCs w:val="20"/>
          <w:color w:val="7F7F7F"/>
        </w:rPr>
        <w:t xml:space="preserve">统计日期：2026年9月14日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一、结论摘要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outside_data 中的五份「私募基金」Excel 与「团队跟踪（私募）」不是同一批产品。前者是期货 / 套利 / 期权 / 多资产 / 组合策略的市场清单；后者是团队实际跟踪的 1,598 只产品，以股票多头、股票对冲为主。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五份私募基金清单：21,372 个不重复备案号，数据库中有净值 3,708 只（17.4%）。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团队跟踪 1,598 只：数据库可匹配 1,576 只，已有净值 1,447 只（90.5%）。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两份名单按产品名称重叠仅 470 只；有净值的重叠 428 只。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团队跟踪里仍有 151 只火富牛已有净值日期、但我方库中无净值；22 只未能解析到备案号。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团队跟踪已进入火富牛抓取宇宙（fof99_nav_universe）的有 773 只，且这 773 只全部已有净值。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二、数据来源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对照使用以下文件与数据库表。净值判定：private_fund_info.latest_nav_date 有值，或 vendor / 邮箱净值表有记录。火富牛跟踪状态取自 fof99_nav_universe.policy。团队跟踪文件无备案号，按产品名称匹配数据库后再关联净值与跟踪策略。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firstRow="1" w:noHBand="0" w:noVBand="1"/>
      </w:tblPr>
      <w:tblGrid>
        <w:gridCol w:w="3600"/>
        <w:gridCol w:w="5400"/>
      </w:tblGrid>
      <w:tr>
        <w:tc>
          <w:tcPr>
            <w:tcW w:w="36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材料</w:t>
            </w:r>
          </w:p>
        </w:tc>
        <w:tc>
          <w:tcPr>
            <w:tcW w:w="54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说明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outside_data/私募基金.xlsx 等 5 份</w:t>
            </w:r>
          </w:p>
        </w:tc>
        <w:tc>
          <w:tcPr>
            <w:tcW w:w="5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火富牛私募基金清单，共 21,378 行、21,372 个不重复备案号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团队跟踪（私募）_20260914212555.xlsx</w:t>
            </w:r>
          </w:p>
        </w:tc>
        <w:tc>
          <w:tcPr>
            <w:tcW w:w="5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团队跟踪名单，1,598 只，含最新净值与团队策略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private_fund_info / _bfl</w:t>
            </w:r>
          </w:p>
        </w:tc>
        <w:tc>
          <w:tcPr>
            <w:tcW w:w="5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产品主数据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private_fund_nav 及邮箱净值表</w:t>
            </w:r>
          </w:p>
        </w:tc>
        <w:tc>
          <w:tcPr>
            <w:tcW w:w="5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vendor 火富牛净值、type6 / group 邮箱净值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fof99_nav_universe</w:t>
            </w:r>
          </w:p>
        </w:tc>
        <w:tc>
          <w:tcPr>
            <w:tcW w:w="5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火富牛周更策略：weekly / weekly_plus / update_slow / skip</w:t>
            </w:r>
          </w:p>
        </w:tc>
      </w:tr>
    </w:tbl>
    <w:p>
      <w:pPr>
        <w:spacing w:before="80" w:after="80" w:line="360" w:lineRule="auto"/>
      </w:pP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三、五份私募基金清单：库内净值与火富牛状态</w:t>
      </w: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3.1 覆盖情况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firstRow="1" w:noHBand="0" w:noVBand="1"/>
      </w:tblPr>
      <w:tblGrid>
        <w:gridCol w:w="3000"/>
        <w:gridCol w:w="2400"/>
        <w:gridCol w:w="3600"/>
      </w:tblGrid>
      <w:tr>
        <w:tc>
          <w:tcPr>
            <w:tcW w:w="3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口径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数量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占不重复备案号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Excel 总行数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21,378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不重复备案号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21,372</w:t>
            </w:r>
          </w:p>
        </w:tc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已在我方数据库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18,054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84.5%</w:t>
            </w:r>
          </w:p>
        </w:tc>
      </w:tr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已有净值数据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3,708</w:t>
            </w:r>
          </w:p>
        </w:tc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17.4%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在库且有净值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3,654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17.1%</w:t>
            </w:r>
          </w:p>
        </w:tc>
      </w:tr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在库但无净值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14,400</w:t>
            </w:r>
          </w:p>
        </w:tc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67.4%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不在数据库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3,318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15.5%</w:t>
            </w:r>
          </w:p>
        </w:tc>
      </w:tr>
    </w:tbl>
    <w:p>
      <w:pPr>
        <w:spacing w:before="80" w:after="80" w:line="360" w:lineRule="auto"/>
      </w:pP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说明：清单中有 1 条备案号为「-」的无效行。有净值的 3,708 只里，vendor 净值 3,142 只，仅邮箱净值 557 只。</w:t>
      </w: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3.2 火富牛跟踪策略（全部 21,372 只）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firstRow="1" w:noHBand="0" w:noVBand="1"/>
      </w:tblPr>
      <w:tblGrid>
        <w:gridCol w:w="2000"/>
        <w:gridCol w:w="3200"/>
        <w:gridCol w:w="1800"/>
        <w:gridCol w:w="2000"/>
      </w:tblGrid>
      <w:tr>
        <w:tc>
          <w:tcPr>
            <w:tcW w:w="2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策略</w:t>
            </w:r>
          </w:p>
        </w:tc>
        <w:tc>
          <w:tcPr>
            <w:tcW w:w="32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含义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全部清单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其中已有净值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weekly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每周五火富牛 FundMultiPrice 抓取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2,789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2,789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weekly_plus</w:t>
            </w:r>
          </w:p>
        </w:tc>
        <w:tc>
          <w:tcPr>
            <w:tcW w:w="3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邮箱优先，列表净值落后当周才付费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66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update_slow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火富牛净值较旧，不付每周积分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316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316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skip</w:t>
            </w:r>
          </w:p>
        </w:tc>
        <w:tc>
          <w:tcPr>
            <w:tcW w:w="3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已确认火富牛无序列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not_in_universe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未纳入火富牛抓取宇宙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18,201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537</w:t>
            </w:r>
          </w:p>
        </w:tc>
      </w:tr>
    </w:tbl>
    <w:p>
      <w:pPr>
        <w:spacing w:before="80" w:after="80" w:line="360" w:lineRule="auto"/>
      </w:pP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已纳入火富牛宇宙的 3,171 只全部已有净值。另有 537 只有净值但不在宇宙中，主要来自邮箱或其他来源。</w:t>
      </w: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3.3 有净值产品的一级策略分布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一级策略</w:t>
            </w:r>
          </w:p>
        </w:tc>
        <w:tc>
          <w:tcPr>
            <w:tcW w:w="3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清单只数</w:t>
            </w:r>
          </w:p>
        </w:tc>
        <w:tc>
          <w:tcPr>
            <w:tcW w:w="3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已有净值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多资产策略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8,587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1,229</w:t>
            </w:r>
          </w:p>
        </w:tc>
      </w:tr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期货策略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6,671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1,261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组合策略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3,437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445</w:t>
            </w:r>
          </w:p>
        </w:tc>
      </w:tr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套利策略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1,771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506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期权策略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906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267</w:t>
            </w:r>
          </w:p>
        </w:tc>
      </w:tr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合计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21,372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3,708</w:t>
            </w:r>
          </w:p>
        </w:tc>
      </w:tr>
    </w:tbl>
    <w:p>
      <w:pPr>
        <w:spacing w:before="80" w:after="80" w:line="360" w:lineRule="auto"/>
      </w:pP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四、与团队跟踪名单对照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团队跟踪文件共 1,598 只产品，均有火富牛最新净值日期。与五份私募基金清单按产品名称重叠很少，因为跟踪名单以股票多头、股票对冲为主，而这五份清单几乎不含这两类。</w:t>
      </w: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4.1 总体对照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firstRow="1" w:noHBand="0" w:noVBand="1"/>
      </w:tblPr>
      <w:tblGrid>
        <w:gridCol w:w="2800"/>
        <w:gridCol w:w="3100"/>
        <w:gridCol w:w="3100"/>
      </w:tblGrid>
      <w:tr>
        <w:tc>
          <w:tcPr>
            <w:tcW w:w="2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口径</w:t>
            </w:r>
          </w:p>
        </w:tc>
        <w:tc>
          <w:tcPr>
            <w:tcW w:w="31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团队跟踪（1,598）</w:t>
            </w:r>
          </w:p>
        </w:tc>
        <w:tc>
          <w:tcPr>
            <w:tcW w:w="31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私募基金清单（21,372）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已在我方数据库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1,576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18,054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我方已有净值</w:t>
            </w:r>
          </w:p>
        </w:tc>
        <w:tc>
          <w:tcPr>
            <w:tcW w:w="31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1,447（90.5%）</w:t>
            </w:r>
          </w:p>
        </w:tc>
        <w:tc>
          <w:tcPr>
            <w:tcW w:w="31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3,708（17.4%）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出现在另一份名单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470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470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已在火富牛抓取宇宙</w:t>
            </w:r>
          </w:p>
        </w:tc>
        <w:tc>
          <w:tcPr>
            <w:tcW w:w="31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773</w:t>
            </w:r>
          </w:p>
        </w:tc>
        <w:tc>
          <w:tcPr>
            <w:tcW w:w="31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3,171</w:t>
            </w:r>
          </w:p>
        </w:tc>
      </w:tr>
    </w:tbl>
    <w:p>
      <w:pPr>
        <w:spacing w:before="80" w:after="80" w:line="360" w:lineRule="auto"/>
      </w:pP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有净值的 3,708 只私募基金清单产品中，仅 428 只也出现在团队跟踪。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团队跟踪中有 1,019 只我方已有净值，但不在这五份私募基金 Excel 中。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团队跟踪中有 151 只火富牛已披露净值、但我方库中无净值。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22 只产品名称未能解析到备案号（多为份额类别或全称不一致）。</w:t>
      </w: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4.2 团队跟踪的火富牛跟踪策略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firstRow="1" w:noHBand="0" w:noVBand="1"/>
      </w:tblPr>
      <w:tblGrid>
        <w:gridCol w:w="2200"/>
        <w:gridCol w:w="2000"/>
        <w:gridCol w:w="2600"/>
        <w:gridCol w:w="2200"/>
      </w:tblGrid>
      <w:tr>
        <w:tc>
          <w:tcPr>
            <w:tcW w:w="22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策略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全部 1,598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我方已有净值 1,447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同时在私募基金清单 470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weekly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578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578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weekly_plus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47</w:t>
            </w:r>
          </w:p>
        </w:tc>
        <w:tc>
          <w:tcPr>
            <w:tcW w:w="2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47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update_slow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63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63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skip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85</w:t>
            </w:r>
          </w:p>
        </w:tc>
        <w:tc>
          <w:tcPr>
            <w:tcW w:w="2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85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not_in_universe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825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674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169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合计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1,598</w:t>
            </w:r>
          </w:p>
        </w:tc>
        <w:tc>
          <w:tcPr>
            <w:tcW w:w="2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1,447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470</w:t>
            </w:r>
          </w:p>
        </w:tc>
      </w:tr>
    </w:tbl>
    <w:p>
      <w:pPr>
        <w:spacing w:before="80" w:after="80" w:line="360" w:lineRule="auto"/>
      </w:pP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已在 fof99_nav_universe 的 773 只全部已有净值。skip 的 85 只表示火富牛接口确认无序列，但我方仍可能通过邮箱拿到净值。not_in_universe 且已有净值的 674 只，主要靠邮箱 / 团队净值，而非周五火富牛付费抓取。</w:t>
      </w: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4.3 按团队一级策略拆分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重叠低的原因集中在股票策略：股票多头 562 只里只有 12 只出现在五份私募基金清单中，股票对冲 282 只里只有 3 只。这两类我方净值覆盖已经很高（约 90%），来源不是那五份市场清单。期货 / 套利 / 期权与清单重叠明显更多。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firstRow="1" w:noHBand="0" w:noVBand="1"/>
      </w:tblPr>
      <w:tblGrid>
        <w:gridCol w:w="1800"/>
        <w:gridCol w:w="1400"/>
        <w:gridCol w:w="1800"/>
        <w:gridCol w:w="1600"/>
        <w:gridCol w:w="1400"/>
        <w:gridCol w:w="1000"/>
      </w:tblGrid>
      <w:tr>
        <w:tc>
          <w:tcPr>
            <w:tcW w:w="1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团队一级策略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跟踪只数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在私募基金清单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我方已有净值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火富牛 weekly</w:t>
            </w:r>
          </w:p>
        </w:tc>
        <w:tc>
          <w:tcPr>
            <w:tcW w:w="1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在火富牛宇宙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股票多头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562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12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503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253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310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期货策略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408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273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362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139</w:t>
            </w:r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181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股票对冲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282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263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54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套利策略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135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72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124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40</w:t>
            </w:r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期权策略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88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52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81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34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多资产策略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57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37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53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26</w:t>
            </w:r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（未分类）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43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17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39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21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债券策略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21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20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10</w:t>
            </w:r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商品型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合计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1,598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470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1,447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578</w:t>
            </w:r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773</w:t>
            </w:r>
          </w:p>
        </w:tc>
      </w:tr>
    </w:tbl>
    <w:p>
      <w:pPr>
        <w:spacing w:before="80" w:after="80" w:line="360" w:lineRule="auto"/>
      </w:pP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4.4 名称匹配说明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团队跟踪无备案号。匹配顺序：产品名称与私募基金清单精确匹配；再与 private_fund_info / 简称 / 跟踪缓存精确匹配；仍未命中的用「私募证券投资基金」等后缀做前缀补全（23 只，例如「赋源套利1号」→「赋源套利1号私募证券投资基金」）。前缀补全中少数可能对到份额或系列产品（如「本拾基石成长」对到「本拾基石成长5号」），明细见对照 CSV。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未能解析备案号的 22 只包括：睿富2号B类、汇迪景明10号A类、青蚨万亿2号B类、科锘CTA稳健一号A类、量道量化择时1号A类、新时代共赢浦江汇赢2号中证1000指数增强、外贸信托-淡水泉专项6期泰九1期、品赋如火等，多为份额后缀或信托计划全称不一致。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五、明细文件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firstRow="1" w:noHBand="0" w:noVBand="1"/>
      </w:tblPr>
      <w:tblGrid>
        <w:gridCol w:w="4200"/>
        <w:gridCol w:w="4800"/>
      </w:tblGrid>
      <w:tr>
        <w:tc>
          <w:tcPr>
            <w:tcW w:w="42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文件</w:t>
            </w:r>
          </w:p>
        </w:tc>
        <w:tc>
          <w:tcPr>
            <w:tcW w:w="4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内容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私募基金清单_净值与火富牛状态.csv</w:t>
            </w:r>
          </w:p>
        </w:tc>
        <w:tc>
          <w:tcPr>
            <w:tcW w:w="4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21,372 只私募基金清单：是否在库、是否有净值、火富牛策略</w:t>
            </w:r>
          </w:p>
        </w:tc>
      </w:tr>
      <w:tr>
        <w:tc>
          <w:tcPr>
            <w:tcW w:w="4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团队跟踪_对照私募基金清单.csv</w:t>
            </w:r>
          </w:p>
        </w:tc>
        <w:tc>
          <w:tcPr>
            <w:tcW w:w="4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1,598 只团队跟踪：匹配方式、备案号、净值、火富牛策略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本 Word 文件</w:t>
            </w:r>
          </w:p>
        </w:tc>
        <w:tc>
          <w:tcPr>
            <w:tcW w:w="4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上述统计的中文说明</w:t>
            </w:r>
          </w:p>
        </w:tc>
      </w:tr>
    </w:tbl>
    <w:p>
      <w:pPr>
        <w:spacing w:before="80" w:after="80" w:line="360" w:lineRule="auto"/>
      </w:pP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六、火富牛策略含义（备查）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firstRow="1" w:noHBand="0" w:noVBand="1"/>
      </w:tblPr>
      <w:tblGrid>
        <w:gridCol w:w="2200"/>
        <w:gridCol w:w="4400"/>
        <w:gridCol w:w="2400"/>
      </w:tblGrid>
      <w:tr>
        <w:tc>
          <w:tcPr>
            <w:tcW w:w="22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策略</w:t>
            </w:r>
          </w:p>
        </w:tc>
        <w:tc>
          <w:tcPr>
            <w:tcW w:w="44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含义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周五是否付费抓取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weekly</w:t>
            </w:r>
          </w:p>
        </w:tc>
        <w:tc>
          <w:tcPr>
            <w:tcW w:w="4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火富牛仍在更新近期净值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weekly_plus</w:t>
            </w:r>
          </w:p>
        </w:tc>
        <w:tc>
          <w:tcPr>
            <w:tcW w:w="4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邮箱通常已有当周净值，仅当列表净值落后才抓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仅落后时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update_slow</w:t>
            </w:r>
          </w:p>
        </w:tc>
        <w:tc>
          <w:tcPr>
            <w:tcW w:w="4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火富牛最新净值偏旧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skip</w:t>
            </w:r>
          </w:p>
        </w:tc>
        <w:tc>
          <w:tcPr>
            <w:tcW w:w="4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探测确认火富牛无净值序列，不再重试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not_in_universe</w:t>
            </w:r>
          </w:p>
        </w:tc>
        <w:tc>
          <w:tcPr>
            <w:tcW w:w="4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尚未写入 fof99_nav_universe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否</w:t>
            </w:r>
          </w:p>
        </w:tc>
      </w:tr>
    </w:tbl>
    <w:p>
      <w:pPr>
        <w:spacing w:before="80" w:after="80" w:line="360" w:lineRule="auto"/>
      </w:pP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
</Relationships>

</file>