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200" w:after="80" w:line="360" w:lineRule="auto"/>
        <w:jc w:val="center"/>
      </w:pPr>
      <w:r>
        <w:rPr>
          <w:rFonts w:ascii="微软雅黑" w:hAnsi="微软雅黑" w:eastAsia="微软雅黑"/>
          <w:sz w:val="36"/>
          <w:szCs w:val="36"/>
          <w:b/>
          <w:color w:val="1F4E79"/>
        </w:rPr>
        <w:t xml:space="preserve">有收益指标私募基金：净值与火富牛对照</w:t>
      </w:r>
    </w:p>
    <w:p>
      <w:pPr>
        <w:spacing w:before="80" w:after="80" w:line="360" w:lineRule="auto"/>
        <w:jc w:val="center"/>
      </w:pPr>
      <w:r>
        <w:rPr>
          <w:rFonts w:ascii="微软雅黑" w:hAnsi="微软雅黑" w:eastAsia="微软雅黑"/>
          <w:sz w:val="20"/>
          <w:szCs w:val="20"/>
          <w:color w:val="5B5B5B"/>
        </w:rPr>
        <w:t xml:space="preserve">已剔除近一周/月/季/半年/一年收益及夏普、卡玛全部为空的产品</w:t>
      </w:r>
    </w:p>
    <w:p>
      <w:pPr>
        <w:spacing w:before="0" w:after="200" w:line="360" w:lineRule="auto"/>
        <w:jc w:val="center"/>
      </w:pPr>
      <w:r>
        <w:rPr>
          <w:rFonts w:ascii="微软雅黑" w:hAnsi="微软雅黑" w:eastAsia="微软雅黑"/>
          <w:sz w:val="20"/>
          <w:szCs w:val="20"/>
          <w:color w:val="7F7F7F"/>
        </w:rPr>
        <w:t xml:space="preserve">统计日期：2026年9月14日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一、结论摘要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五份私募基金 Excel 共 21,378 行。近一周、近一月、近三月、近六月、近一年收益以及近一年夏普、卡玛这七列全部为空（含“-”）的有 18,525 行，已剔除。至少有一列有值的 2,853 行，对应不重复备案号 2,853 只。以下分析只针对这 2,853 只。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我方数据库可匹配 2734（95.8%）。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我方已有净值 2553（89.5%）。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火富牛跟踪：weekly 2,481，weekly_plus 57，update_slow 3，skip 0，未纳入宇宙 312。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•  与团队跟踪 1,598 只按名称/备案号重叠 276 只；其中我方已有净值 273 只。团队跟踪侧能对上这批有收益指标产品的有 276 只。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二、筛选口径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七列任一有非空数值即保留。空值包括空白、None、以及 “-”“—” 等占位符。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3600"/>
        <w:gridCol w:w="1800"/>
        <w:gridCol w:w="1800"/>
        <w:gridCol w:w="180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文件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总行数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七列全空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至少一列有值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私募基金 (1).xlsx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1,773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1,431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342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私募基金 (2).xlsx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907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738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169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私募基金 (3).xlsx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8,587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7,535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1,052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私募基金 (4).xlsx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3,438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3,021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417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私募基金.xlsx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6,673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5,800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873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合计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21,378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18,525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2,853</w:t>
            </w:r>
          </w:p>
        </w:tc>
      </w:tr>
    </w:tbl>
    <w:p>
      <w:pPr>
        <w:spacing w:before="80" w:after="80" w:line="360" w:lineRule="auto"/>
      </w:pP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有收益指标行去重后不重复备案号 2,853 只（无有效备案号 0 行已丢弃）。</w:t>
      </w: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三、数据库净值与火富牛状态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3.1 覆盖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3600"/>
        <w:gridCol w:w="2400"/>
        <w:gridCol w:w="300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口径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数量</w:t>
            </w:r>
          </w:p>
        </w:tc>
        <w:tc>
          <w:tcPr>
            <w:tcW w:w="3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占有收益指标备案号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有收益指标（不重复备案号）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2,853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100%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已在我方数据库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2,734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95.8%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已有净值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2,553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89.5%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在库但无净值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6.6%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不在数据库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119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4.2%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vendor 净值点数&gt;0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2,541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89.1%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仅邮箱净值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0.4%</w:t>
            </w:r>
          </w:p>
        </w:tc>
      </w:tr>
    </w:tbl>
    <w:p>
      <w:pPr>
        <w:spacing w:before="80" w:after="80" w:line="360" w:lineRule="auto"/>
      </w:pP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3.2 火富牛跟踪策略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2000"/>
        <w:gridCol w:w="3200"/>
        <w:gridCol w:w="1800"/>
        <w:gridCol w:w="2000"/>
      </w:tblGrid>
      <w:tr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策略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含义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全部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其中已有净值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weekly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每周五火富牛抓取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2481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2481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weekly_plus</w:t>
            </w:r>
          </w:p>
        </w:tc>
        <w:tc>
          <w:tcPr>
            <w:tcW w:w="3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邮箱优先，落后才付费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57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update_slow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火富牛净值较旧，不付每周积分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skip</w:t>
            </w:r>
          </w:p>
        </w:tc>
        <w:tc>
          <w:tcPr>
            <w:tcW w:w="3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已确认火富牛无序列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not_in_universe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未纳入抓取宇宙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312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12</w:t>
            </w:r>
          </w:p>
        </w:tc>
      </w:tr>
    </w:tbl>
    <w:p>
      <w:pPr>
        <w:spacing w:before="80" w:after="80" w:line="360" w:lineRule="auto"/>
      </w:pP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已纳入火富牛宇宙 2,541 只。</w:t>
      </w:r>
    </w:p>
    <w:p>
      <w:pPr>
        <w:spacing w:before="180" w:after="80" w:line="360" w:lineRule="auto"/>
      </w:pPr>
      <w:r>
        <w:rPr>
          <w:rFonts w:ascii="微软雅黑" w:hAnsi="微软雅黑" w:eastAsia="微软雅黑"/>
          <w:sz w:val="26"/>
          <w:szCs w:val="26"/>
          <w:b/>
          <w:color w:val="2E75B6"/>
        </w:rPr>
        <w:t xml:space="preserve">3.3 一级策略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2800"/>
        <w:gridCol w:w="2000"/>
        <w:gridCol w:w="2200"/>
        <w:gridCol w:w="2000"/>
      </w:tblGrid>
      <w:tr>
        <w:tc>
          <w:tcPr>
            <w:tcW w:w="2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一级策略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有收益指标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我方已有净值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净值覆盖率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多资产策略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1052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961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91.3%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期货策略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873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777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89.0%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组合策略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417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350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83.9%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套利策略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342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309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90.4%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期权策略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92.3%</w:t>
            </w:r>
          </w:p>
        </w:tc>
      </w:tr>
    </w:tbl>
    <w:p>
      <w:pPr>
        <w:spacing w:before="80" w:after="80" w:line="360" w:lineRule="auto"/>
      </w:pP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四、与团队跟踪对照</w:t>
      </w:r>
    </w:p>
    <w:p>
      <w:pPr>
        <w:spacing w:before="60" w:after="60" w:line="360" w:lineRule="auto"/>
      </w:pPr>
      <w:r>
        <w:rPr>
          <w:rFonts w:ascii="微软雅黑" w:hAnsi="微软雅黑" w:eastAsia="微软雅黑"/>
          <w:sz w:val="21"/>
          <w:szCs w:val="21"/>
        </w:rPr>
        <w:t xml:space="preserve">团队跟踪共 1,598 只。本轮只把「七列不全空」的私募基金清单拿来对照。重叠 276 只（占有收益指标清单 9.7%，占团队跟踪 17.3%）。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5600"/>
        <w:gridCol w:w="3400"/>
      </w:tblGrid>
      <w:tr>
        <w:tc>
          <w:tcPr>
            <w:tcW w:w="5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口径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数量</w:t>
            </w:r>
          </w:p>
        </w:tc>
      </w:tr>
      <w:tr>
        <w:tc>
          <w:tcPr>
            <w:tcW w:w="5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有收益指标私募基金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2,853</w:t>
            </w:r>
          </w:p>
        </w:tc>
      </w:tr>
      <w:tr>
        <w:tc>
          <w:tcPr>
            <w:tcW w:w="5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其中出现在团队跟踪</w:t>
            </w:r>
          </w:p>
        </w:tc>
        <w:tc>
          <w:tcPr>
            <w:tcW w:w="3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276</w:t>
            </w:r>
          </w:p>
        </w:tc>
      </w:tr>
      <w:tr>
        <w:tc>
          <w:tcPr>
            <w:tcW w:w="5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其中出现在团队跟踪且我方有净值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273</w:t>
            </w:r>
          </w:p>
        </w:tc>
      </w:tr>
      <w:tr>
        <w:tc>
          <w:tcPr>
            <w:tcW w:w="5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团队跟踪产品</w:t>
            </w:r>
          </w:p>
        </w:tc>
        <w:tc>
          <w:tcPr>
            <w:tcW w:w="3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1,598</w:t>
            </w:r>
          </w:p>
        </w:tc>
      </w:tr>
      <w:tr>
        <w:tc>
          <w:tcPr>
            <w:tcW w:w="5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团队跟踪能对上本轮清单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276</w:t>
            </w:r>
          </w:p>
        </w:tc>
      </w:tr>
      <w:tr>
        <w:tc>
          <w:tcPr>
            <w:tcW w:w="5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团队跟踪对上且该产品我方有净值</w:t>
            </w:r>
          </w:p>
        </w:tc>
        <w:tc>
          <w:tcPr>
            <w:tcW w:w="34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273</w:t>
            </w:r>
          </w:p>
        </w:tc>
      </w:tr>
    </w:tbl>
    <w:p>
      <w:pPr>
        <w:spacing w:before="80" w:after="80" w:line="360" w:lineRule="auto"/>
      </w:pP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3600"/>
        <w:gridCol w:w="2700"/>
        <w:gridCol w:w="270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团队一级策略</w:t>
            </w:r>
          </w:p>
        </w:tc>
        <w:tc>
          <w:tcPr>
            <w:tcW w:w="27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跟踪只数</w:t>
            </w:r>
          </w:p>
        </w:tc>
        <w:tc>
          <w:tcPr>
            <w:tcW w:w="27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对上有收益指标清单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股票多头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期货策略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408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144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股票对冲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套利策略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135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42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期权策略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32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多资产策略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27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13</w:t>
            </w:r>
          </w:p>
        </w:tc>
      </w:tr>
      <w:tr>
        <w:tc>
          <w:tcPr>
            <w:tcW w:w="36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债券策略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商品型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W w:w="27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</w:t>
            </w:r>
          </w:p>
        </w:tc>
      </w:tr>
    </w:tbl>
    <w:p>
      <w:pPr>
        <w:spacing w:before="80" w:after="80" w:line="360" w:lineRule="auto"/>
      </w:pPr>
    </w:p>
    <w:p>
      <w:pPr>
        <w:spacing w:before="240" w:after="80" w:line="360" w:lineRule="auto"/>
      </w:pPr>
      <w:r>
        <w:rPr>
          <w:rFonts w:ascii="微软雅黑" w:hAnsi="微软雅黑" w:eastAsia="微软雅黑"/>
          <w:sz w:val="32"/>
          <w:szCs w:val="32"/>
          <w:b/>
          <w:color w:val="1F4E79"/>
        </w:rPr>
        <w:t xml:space="preserve">五、明细文件</w:t>
      </w:r>
    </w:p>
    <w:tbl>
      <w:tblPr>
        <w:tblW w:w="900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4200"/>
        <w:gridCol w:w="4800"/>
      </w:tblGrid>
      <w:tr>
        <w:tc>
          <w:tcPr>
            <w:tcW w:w="42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文件</w:t>
            </w:r>
          </w:p>
        </w:tc>
        <w:tc>
          <w:tcPr>
            <w:tcW w:w="4800" w:type="dxa"/>
            <w:shd w:val="clear" w:color="auto" w:fill="1F4E79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b/>
                <w:color w:val="FFFFFF"/>
              </w:rPr>
              <w:t xml:space="preserve">内容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私募基金_有收益指标_净值与火富牛状态.csv</w:t>
            </w:r>
          </w:p>
        </w:tc>
        <w:tc>
          <w:tcPr>
            <w:tcW w:w="4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2,853 只有收益指标产品：净值、火富牛策略、是否在团队跟踪</w:t>
            </w:r>
          </w:p>
        </w:tc>
      </w:tr>
      <w:tr>
        <w:tc>
          <w:tcPr>
            <w:tcW w:w="42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团队跟踪_对照_有收益指标私募基金.csv</w:t>
            </w:r>
          </w:p>
        </w:tc>
        <w:tc>
          <w:tcPr>
            <w:tcW w:w="4800" w:type="dxa"/>
            <w:shd w:val="clear" w:color="auto" w:fill="F2F2F2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1,598 只团队跟踪：是否出现在本轮有收益指标清单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私募基金有收益指标_净值对照_20260914.docx</w:t>
            </w:r>
          </w:p>
        </w:tc>
        <w:tc>
          <w:tcPr>
            <w:tcW w:w="4800" w:type="dxa"/>
            <w:vAlign w:val="center"/>
          </w:tcPr>
          <w:p>
            <w:pPr>
              <w:spacing w:before="40" w:after="40" w:line="360" w:lineRule="auto"/>
              <w:jc w:val="center"/>
            </w:pPr>
            <w:r>
              <w:rPr>
                <w:rFonts w:ascii="微软雅黑" w:hAnsi="微软雅黑" w:eastAsia="微软雅黑"/>
                <w:sz w:val="18"/>
                <w:szCs w:val="18"/>
                <w:color w:val="000000"/>
              </w:rPr>
              <w:t xml:space="preserve">本说明</w:t>
            </w:r>
          </w:p>
        </w:tc>
      </w:tr>
    </w:tbl>
    <w:p>
      <w:pPr>
        <w:spacing w:before="80" w:after="80" w:line="360" w:lineRule="auto"/>
      </w:pP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/Relationships>

</file>