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B8860B"/>
          <w:sz w:val="20"/>
        </w:rPr>
        <w:t>内部数据核对</w:t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/>
          <w:i w:val="0"/>
          <w:color w:val="1A365D"/>
          <w:sz w:val="36"/>
        </w:rPr>
        <w:t>运维团队数据（type6 全量）：库内无净值与火富牛跟踪状态</w:t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核对日 2026-09-15  ·  源文件 type6_运维团队数据_全量.csv  ·  备案号 S 前缀/份额类别名一并匹配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一、结论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源文件 type6_运维团队数据_全量.csv 去重后 5,827 只产品（register_number）。「库内有净值」指在 private_fund_nav、private_fund_nav_group_type6、private_fund_nav_group、private_fund_nav_group_hy、ops_email_nav_records、ops_team_nav_manual 任一表，按备案号或其 S 前缀/份额类别名（或 type6 表产品名）能找到至少一行有效净值。按此口径，5,747 只已有净值，80 只完全没有净值，占源文件 1.4%。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这 80 只无净值产品中，1 只已在火富牛跟踪宇宙 fof99_nav_universe（SAVH67，policy=skip），79 只未纳入。火富牛 advancedlist 上已有净值日的 15 只（火富牛有数、我方库内仍空）。份额类 11 只，非份额类 69 只。在 private_fund_info 中的 56 只，不在产品表的 24 只。其中 SAVH67 倍致灵泰省心享1号产品表仍有 2026-05-29 净值尖，但各净值序列表均为空，且火富牛宇宙标记为 skip（空日期探测 no_data）。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口径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占源文件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源文件去重产品数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5,827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100%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库内已有净值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5,747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98.6%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库内无净值（本报告对象）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80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1.4%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无净值且已纳入火富牛宇宙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0.0%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无净值且未纳入火富牛宇宙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79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1.4%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无净值但火富牛列表已有净值日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15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0.3%</w:t>
            </w:r>
          </w:p>
        </w:tc>
      </w:tr>
    </w:tbl>
    <w:p>
      <w:pPr>
        <w:spacing w:after="120"/>
      </w:pP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图1  源文件覆盖：有净值 vs 无净值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二、核对口径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源文件是 type6 运维团队数据全量名单，字段为简称、全称、register_number、price_type、tag、strategy。运维/跟踪产品页查净值时不只看 master 表 private_fund_nav，还会看 type6 分组表、邮件净值、手工净值，并且备案号常有 S 前缀与 A/B/C 份额写法（例如 SBTH74B 与 BTH74B）。因此本报告按别名并集判定「有没有净值」，避免把「代码写法不同」误判成「没有数据」。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火富牛跟踪状态取自 fof99_nav_universe.policy：weekly 每周五付费拉取；weekly_plus 邮件优先；skip 已确认无序列；update_slow 最新净值偏旧不周更。无行记为未纳入宇宙。另用本地 advancedlist CSV 标注火富牛是否已有最新净值日，并附 fof99_nav_fetch_log 最近一次抓取。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三、无净值产品的火富牛跟踪状态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跟踪策略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无净值产品数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占无净值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未纳入跟踪宇宙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79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98.8%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skip（已确认火富牛无序列，永不重试）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1.2%</w:t>
            </w:r>
          </w:p>
        </w:tc>
      </w:tr>
    </w:tbl>
    <w:p>
      <w:pPr>
        <w:spacing w:after="120"/>
      </w:pPr>
    </w:p>
    <w:p>
      <w:r>
        <w:drawing>
          <wp:inline xmlns:a="http://schemas.openxmlformats.org/drawingml/2006/main" xmlns:pic="http://schemas.openxmlformats.org/drawingml/2006/picture">
            <wp:extent cx="5577840" cy="3229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li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图2  无净值产品按火富牛跟踪策略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weekly + weekly_plus 共 0 只：周五任务理论上会覆盖，但库内各净值表仍空，应核对这些代码的抓取日志（ok / no_data / 尚未进批次）。skip 1 只已判定火富牛无序列，一般不再付费重试。update_slow 0 只不在周更预算内。未纳入宇宙 79 只当前不会被周五任务拉取。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f99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图3  无净值产品在火富牛列表上是否已有净值日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火富牛列表已有净值日、但我方库内仍空的 15 只，是最值得优先补数的集合：数据在对端存在，缺的是写入我方净值表（或尚未 admit 进宇宙）。下表为这 15 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备案号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产品简称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火富牛净值日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火富牛净值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份额类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产品表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SQW105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巨博华多元策略1号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2026-08-31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1.4291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ALD55A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敦和芝诺量化CTA1号A类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2026-08-28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0.9989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SAUS67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孚盈稳健一号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2026-08-28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1.0896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SBQR35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巨量均衡量选一号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2026-08-28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1.1469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NK610C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乐瑞宏观多策略1号C类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2025-03-31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1.1506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SQW279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睿郡节节高12号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2024-07-26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1.087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STV119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天铖致远1号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2024-07-26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1.2322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SLT323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大风鸿濛优选1.0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2024-07-25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0.5831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SXV803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丰节瑞远中性1号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2024-07-19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1.02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SXQ097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坤望锦鲤专享5号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2023-10-20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0.7472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SB1773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坤望专享7号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2023-06-08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SZL976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哲石塔尖衍选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2023-04-04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SZE414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贞元元培量子高波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2023-01-13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SR4898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泉汐名扬多策略组合投资1号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2021-12-31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3.4065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SSH871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芬德-环翼2号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2021-08-24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  <w:tc>
          <w:tcPr>
            <w:tcW w:type="dxa" w:w="162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四、产品结构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无净值产品中份额类 11 只（13.8%），主份额/非份额类 69 只。不在 private_fund_info 的 24 只通常也进不了私募基金列表筛选。</w:t>
      </w:r>
    </w:p>
    <w:p>
      <w:r>
        <w:drawing>
          <wp:inline xmlns:a="http://schemas.openxmlformats.org/drawingml/2006/main" xmlns:pic="http://schemas.openxmlformats.org/drawingml/2006/picture">
            <wp:extent cx="493776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h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图4  无净值产品是否份额类</w:t>
      </w:r>
    </w:p>
    <w:p>
      <w:r>
        <w:drawing>
          <wp:inline xmlns:a="http://schemas.openxmlformats.org/drawingml/2006/main" xmlns:pic="http://schemas.openxmlformats.org/drawingml/2006/picture">
            <wp:extent cx="5577840" cy="3229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rate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图5  无净值产品平台一级策略（前8）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平台一级策略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无净值产品数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占无净值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股票多头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24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30.0%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期货策略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13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16.2%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股票对冲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12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15.0%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套利策略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10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12.5%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多资产策略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9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11.2%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组合策略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6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7.5%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债券策略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4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5.0%</w:t>
            </w:r>
          </w:p>
        </w:tc>
      </w:tr>
      <w:tr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期权策略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</w:t>
            </w:r>
          </w:p>
        </w:tc>
        <w:tc>
          <w:tcPr>
            <w:tcW w:type="dxa" w:w="32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2.5%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五、明细抽样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完整 80 行见 type6_ops_no_db_nav.csv。下表按跟踪策略各抽若干只。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备案号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产品简称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跟踪策略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火富牛净值日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是否份额类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SAVH67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倍致灵泰省心享1号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skip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—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ALD55A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敦和芝诺量化CTA1号A类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2026-08-28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NK610C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乐瑞宏观多策略1号C类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2025-03-31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yes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SAUS67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孚盈稳健一号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2026-08-28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</w:tr>
      <w:tr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SB1773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坤望专享7号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未纳入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2023-06-08</w:t>
            </w:r>
          </w:p>
        </w:tc>
        <w:tc>
          <w:tcPr>
            <w:tcW w:type="dxa" w:w="1949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六、建议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1. 优先处理「火富牛列表已有净值日 + 未纳入宇宙」的主份额：admit 进 weekly 后用 FundPrice 回填，再进周五 FundMultiPrice。不要对 skip 产品付费盲拉。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2. 已在 weekly / weekly_plus 但各净值表仍空的，查 fof99_nav_fetch_log：无记录=尚未进批次；连续 no_data=与列表日期冲突，核对接备案号/份额类；error=写入失败。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3. A/B/C 类份额若协会主表没有独立行，master 净值表也不会自然出现。运维团队数据本身按份额登记，补数时要用源文件里的 register_number（含 B/A 后缀），不要只写主份额代码。</w:t>
      </w:r>
    </w:p>
    <w:p>
      <w:pPr>
        <w:spacing w:after="160" w:before="0" w:line="307" w:lineRule="auto"/>
        <w:ind w:firstLine="420"/>
      </w:pPr>
      <w:r>
        <w:rPr>
          <w:rFonts w:ascii="微软雅黑" w:hAnsi="微软雅黑" w:eastAsia="微软雅黑"/>
          <w:b w:val="0"/>
          <w:i w:val="0"/>
          <w:color w:val="2D3748"/>
          <w:sz w:val="22"/>
        </w:rPr>
        <w:t>4. 本报告「无净值」已合并 type6 / 邮件 / 手工表。若产品页仍显示净值，多半来自估值表市价回退，并不等于净值序列已入库。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A365D"/>
          <w:sz w:val="32"/>
        </w:rPr>
        <w:t>附录  CSV 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register_number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源文件备案号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has_db_nav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本 CSV 均为 no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nav_sources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命中的净值表（无净值时为空）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in_fof99_universe / fof99_policy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跟踪宇宙与策略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fof99_list_date / fof99_list_nav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火富牛 advancedlist 最新净值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last_fetch_status / last_ok_date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抓取日志</w:t>
            </w:r>
          </w:p>
        </w:tc>
      </w:tr>
      <w:tr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in_private_fund_info</w:t>
            </w:r>
          </w:p>
        </w:tc>
        <w:tc>
          <w:tcPr>
            <w:tcW w:type="dxa" w:w="48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是否在协会产品表</w:t>
            </w:r>
          </w:p>
        </w:tc>
      </w:tr>
    </w:tbl>
    <w:p>
      <w:pPr>
        <w:spacing w:after="120"/>
      </w:pP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生成时间 2026-09-15 10:43  ·  只读库与 CSV，不调用火富牛付费接口。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