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93" w:lineRule="auto"/>
        <w:jc w:val="center"/>
      </w:pPr>
      <w:r>
        <w:rPr>
          <w:rFonts w:ascii="微软雅黑" w:hAnsi="微软雅黑" w:eastAsia="微软雅黑"/>
          <w:b w:val="0"/>
          <w:color w:val="B8860B"/>
          <w:sz w:val="22"/>
        </w:rPr>
        <w:t>MOM 每日风控  ·  可执行方案备忘（不要求投顾砍仓）</w:t>
      </w:r>
    </w:p>
    <w:p>
      <w:pPr>
        <w:spacing w:after="120" w:before="0" w:line="293" w:lineRule="auto"/>
        <w:jc w:val="center"/>
      </w:pPr>
      <w:r>
        <w:rPr>
          <w:rFonts w:ascii="微软雅黑" w:hAnsi="微软雅黑" w:eastAsia="微软雅黑"/>
          <w:b/>
          <w:color w:val="1A365D"/>
          <w:sz w:val="36"/>
        </w:rPr>
        <w:t>开仓前限额、RX000 对冲与贵金属/有色/宏观集中管理</w:t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基准为风险日报 MOM 产品净值（2025-06-18 至 2026-09-10，累计 53.0%，年化波动 21.3%，最大回撤 17.1%，夏普 2.08）。报告日 2026-09-11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一、目标与约束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目标：压低 MOM 产品波动与回撤，尽量保住夏普，规则要简单。约束：投顾已经开仓后再要求他们砍仓，现实中很难执行；相对容易的是（1）开仓前把额度写死，（2）在我方直接控制的 RX000（自营）账户里管理贵金属、有色和宏观品种，（3）用 RX000 开对冲，而不是去改投顾持仓。上一份回测里「超限且近5日亏损才砍」在数字上仍然成立，本备忘把它留作制度备选，主推不依赖投顾配合的方案。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二、风险从哪来：贵金属 / 有色 / 宏观够不够格当主杠杆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用持仓市值×次日涨跌估算各板块对组合的盈亏贡献。样本内最大回撤发生在 2026-01-29 到 2026-02-06，幅度 17.1%，与净值曲线上 2026 年 5 月见顶后的那段一致。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4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_01_sector_pn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图1  各板块累计估算盈亏。若贵金属/有色是回撤主力，RX000 对冲这两块就是对症的。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累计估算盈亏(万)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与MOM日收益相关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|盈亏|占比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贵金属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+44.1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0.69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18.5%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有色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+97.2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0.59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11.2%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-48.3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0.48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14.9%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能源化工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+661.6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0.23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16.7%</w:t>
            </w:r>
          </w:p>
        </w:tc>
      </w:tr>
      <w:tr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其他商品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+1,544.0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0.42</w:t>
            </w:r>
          </w:p>
        </w:tc>
        <w:tc>
          <w:tcPr>
            <w:tcW w:type="dxa" w:w="249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38.8%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表1  板块贡献。相关高且 |盈亏| 占比大的板块，最值得放进 RX000 对冲名单。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RX000 本身已是自营账户，最新约 1000 万权益，近期净持仓以沪铜、黄金为主，历史上还做过国债、碳酸锂、白银、股指。把对冲放在这个账户，不改变投顾账面，结算路径也现成。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三、三种不砍投顾仓的做法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3.1 开仓前冻结加仓（RX000 对冲「新开」）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投顾旧仓一律不动。某品种当日 MCR 已经超过限额后，若他们次日还往同方向加仓，RX000 按加仓名义等额反向开仓。这等价于「超限后禁止加仓」，但执行人是我们，不是投顾。投顾可以继续交易，组合净敞口不再升高。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3.2 RX000 品种/板块净敞口硬顶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对贵金属、有色、股指、原油等流动性好的品种，按「净市值 / 上日累计净资本」设顶。超顶部分由 RX000 用同一品种（或板块代理：黄金对贵金属、沪铜对有色、IM 对股指、SC 对能源）反向对冲。投顾仓保持原样。这是最简单、最好值班的规则：只看一张净敞口表。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3.3 预测波动超标时，只对冲宏观篮子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当 VaR 沙盒给出的组合预测年化波动高于目标（例如 18%），RX000 按超标比例对冲黄金/铜/原油/股指篮子，其它农产品、化工细项不动。这比按品种砍仓简单，也比全年固定对冲更省「平时的利润」。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四、回测：这些容易做的规则，能不能降波、保住夏普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所有方案都叠在官方 MOM 净值上：只加减对冲盈亏，申购赎回不变，指标口径与净值曲线页一致。「25/45 只砍亏」仍列在表里作为对照，提醒那是效果好但难执行的上界。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70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_02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图2  MOM 实际净值 vs 若干可执行叠加。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50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_03_risk_b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图3  年化波动、最大回撤、夏普。灰柱为实盘。目标是左两柱下降、夏普不塌。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干预次数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累计收益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年化波动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对冲净盈亏(万)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次均对冲名义(万)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MOM实际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53.0%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—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开仓前25%对冲增量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52.8%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21.2%（-0.3%）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17.1%（-0.1%）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2.08（+0.00）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+26.6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165.9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开仓前30%对冲增量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52.3%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21.3%（-0.1%）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17.2%（+0.3%）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2.06（-0.02）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-8.5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154.7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宏观单品种12%顶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609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41.2%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19.0%（-10.6%）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14.4%（-16.1%）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1.82（-0.26）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-48.0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308.7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贵金有色15%顶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277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49.5%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20.3%（-4.8%）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15.4%（-9.7%）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2.05（-0.03）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+11.3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305.6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板块18%代理对冲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409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45.5%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17.7%（-16.9%）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11.3%（-33.7%）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2.16（+0.08）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+38.4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469.5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贵金有色板块15%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295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48.0%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18.7%（-12.1%）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12.6%（-26.3%）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2.15（+0.07）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-5.8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504.7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波动封顶18%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123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49.7%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16.2%（-23.8%）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10.5%（-38.9%）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2.57（+0.49）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+27.0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2,706.5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贵金有色常年30%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2396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48.1%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19.0%（-10.8%）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13.9%（-18.9%）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2.12（+0.04）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-42.4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80.3</w:t>
            </w:r>
          </w:p>
        </w:tc>
      </w:tr>
      <w:tr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25/45只砍亏(难)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53.6%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20.9%（-1.8%）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16.1%（-6.1%）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2.14（+0.06）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+121.2</w:t>
            </w:r>
          </w:p>
        </w:tc>
        <w:tc>
          <w:tcPr>
            <w:tcW w:type="dxa" w:w="124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</w:t>
            </w:r>
          </w:p>
        </w:tc>
      </w:tr>
    </w:tbl>
    <w:p>
      <w:pPr>
        <w:spacing w:after="240" w:before="0" w:line="293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表2  可执行方案对照。波动/回撤括号为相对 MOM 实际。对冲净盈亏是 RX000 叠加本身的累计盈亏。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五、建议怎么落地（保留原建议，加上容易做的）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综合降波、夏普与可执行性，优先落地：预测波动&gt;18%时对冲宏观篮子至18%。样本内年化波动 21.3% → 16.2%，最大回撤 17.1% → 10.5%，夏普 2.08 → 2.57。执行只发生在 RX000，不改投顾指令。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建议写成三层，由易到难：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第一层（本周就能做）：RX000 对贵金属、有色设净敞口顶。操作手册一句话：全产品黄金+白银净市值不得超过上日累计净资本的约定比例，超了由 RX000 用 AU 对冲超额；沪铜等有色同理，代理品种用 CU。值班只看两张数。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第二层（开仓前规则，写进投顾额度）：品种 MCR 已≥25% 或板块 MCR 已≥45% 时，该方向停止新开、只许减仓。若投顾仍开出来，RX000 自动对冲这笔增量。这比「已经亏了再逼他们砍」容易沟通：规则在开仓前，不涉及认赔。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第三层（对照，不作为日常强制）：上一份报告的「25%/45% 且近5日亏损才压仓」。数字更好，但要投顾在亏损后减仓，只适合作为季度考核或双方书面同意的例外条款，不要当日常指令。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不要单独做的：只限板块 50%、只按市值 20/40、以及要求投顾盘中平掉已有仓。全年无条件按固定比例对冲贵金属/有色（站岗式 haircut）会稳定降波，但平常会吃掉趋势利润，只适合当作「目标波动封顶」的备用，而不是默认档。</w:t>
      </w:r>
    </w:p>
    <w:p>
      <w:pPr>
        <w:spacing w:after="160" w:before="0" w:line="293" w:lineRule="auto"/>
      </w:pPr>
      <w:r>
        <w:rPr>
          <w:rFonts w:ascii="微软雅黑" w:hAnsi="微软雅黑" w:eastAsia="微软雅黑"/>
          <w:b w:val="0"/>
          <w:color w:val="64748B"/>
          <w:sz w:val="18"/>
        </w:rPr>
        <w:t>复现：scripts/ma/generate_mcr_ops_overlay_report.py；只读 MOM 表，不改 ETL。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