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Brendan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Question: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with effectiveness that it is relative to damage/undamage (not absolute)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effectiveness is just returning strength over damaged (is that what you meant?)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say rectilinear at 100% infill since its full?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Aidan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correct figure numbers and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add slide numbers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specimen testing slide -- if you are describing the undamaged, damaged, and repaired pieces, I think we should have 3 clipart images of what these look like for the audience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5 was still our minimum because some data was bad/unrecorded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some have more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methodology: “much nicer print” -- elaborate on how some of the earlier trials failed using different conditions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we need more time we could add the picture and talk about it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I will change base piece to damaged piece, I wrote that and it goes against what we’ve been calling it before -- Brendan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methodology slide on how we generated the toolpaths for the repair? Could add some technical flare with some of the slic3r images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Rohith notes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said was surprising but should probably add an explanation of why you found that surprising, for the panelists/audience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aligned only provides extra rigidity in the axial direction due to it’s geometry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Since the graph is color coded, can we add a legend for those colors?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Rename slide titles to be more specific to the slide content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Hexagonal takes longer because the complicated print pattern requires more acceleration and deceleration of the print head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Something to note -- why was ABS so much worse than PLA? Maybe this would be for Nathan and analysis, but something to think about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ABS was probably weaker due to adhesion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Nathan notes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we have a red highlight/box on the bar graph for the optimum selection on the discussion slide? Its the same graph from before, but the audience might have a hard time seeing what we’re talking about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