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19538" cy="31093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10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https://ojs.imeti.org/index.php/AITI/article/view/1010/576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81513" cy="26429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64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https://www.aimspress.com/article/10.3934/matersci.2019.6.1033/fulltext.html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14723" cy="3224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2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“In the case of 80% infill density, result shows ductile behaviour. This may be due to the fact that there is a minor air gap between the beads and during tensile loading some beads filled this gap. Thus it gave more elongation as compared to specimen built with 100% infill density.”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https://journals.sagepub.com/doi/full/10.1177/0954406219856383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aimspress.com/article/10.3934/matersci.2019.6.1033/fulltext.html" TargetMode="External"/><Relationship Id="rId12" Type="http://schemas.openxmlformats.org/officeDocument/2006/relationships/hyperlink" Target="https://journals.sagepub.com/doi/full/10.1177/0954406219856383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ojs.imeti.org/index.php/AITI/article/view/1010/576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