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Subteams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 3 subteams is enough for what is possible in these for years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goals that can happen immediately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on already known surface (spheres)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Other, Older Thesis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them!!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format of given thesis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Thesis: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Similar to an Elevator pitch of the entire project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populating the thesis now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 has electronic property → ask during intellectual property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Acknowledgements → people who funded project + mentors + librarian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Chapter: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this thesis, how is it cool and new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Here’s what’s been done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Journals, literature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Justifies reason for doing thesis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sure that no one else has done what we are going to do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are the gaps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3,4,5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research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chapter can be divided by a subteam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can be its own journal paper (can individually published)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chapters should be able to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future Ideas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identified other future possibilities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Rarely get rejected b/c identifies what we haven’t covered and shows it can be continued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for technical papers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two chapters of the thesis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literature review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meetings every other week and subteam meetings in the gap weeks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Recommended: A paper a week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Advisory Committee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Reached out to David (Karos 3D printing)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Dr.Mitchell’s Todo: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 up basic thesis outline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who else to be on advisory committee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Keep reading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Dr. Mitchell Office EGR 2128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right"/>
      <w:rPr/>
    </w:pPr>
    <w:r w:rsidDel="00000000" w:rsidR="00000000" w:rsidRPr="00000000">
      <w:rPr>
        <w:rtl w:val="0"/>
      </w:rPr>
      <w:t xml:space="preserve">September 4,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