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Pink Teams</w:t>
      </w:r>
    </w:p>
    <w:p w:rsidR="00000000" w:rsidDel="00000000" w:rsidP="00000000" w:rsidRDefault="00000000" w:rsidRPr="00000000" w14:paraId="00000002">
      <w:pPr>
        <w:rPr/>
      </w:pPr>
      <w:r w:rsidDel="00000000" w:rsidR="00000000" w:rsidRPr="00000000">
        <w:rPr>
          <w:rtl w:val="0"/>
        </w:rPr>
        <w:t xml:space="preserve">The pink team will be setting requirements for the document by outlining the content of each section. Even though the writing is “rough”, by no means is it not important. If red team and white glove are to continue without worrying about the logical cohesion of their sections, pink team must be mindful of the fact that exactly what they ask for (and nothing more) will be written once it is handed over to the next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Requirements: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Outline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Make it so that we do not have to return to edit the outline, even if details about our project change. Creating an abstract yet robust outline requires foresight and cogent storytelling.</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Subsections and Headings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When should a section be broken down into components? Would it be easier to understand? Does it help guide someone through what’s important in our thesis?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Headings should be descriptive markers for readers skimming through and identifying the part of the draft they are interested in or looking for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Arguments or claims that must be made and supported</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You do not have to think in full detail about how to support the claim but just that it is at least feasible to do so</w:t>
      </w: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Red Team</w:t>
      </w: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White Glove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360" w:before="360" w:lineRule="auto"/>
      <w:jc w:val="both"/>
    </w:pPr>
    <w:rPr>
      <w:sz w:val="32"/>
      <w:szCs w:val="32"/>
    </w:rPr>
  </w:style>
  <w:style w:type="paragraph" w:styleId="Heading3">
    <w:name w:val="heading 3"/>
    <w:basedOn w:val="Normal"/>
    <w:next w:val="Normal"/>
    <w:pPr>
      <w:keepNext w:val="1"/>
      <w:keepLines w:val="1"/>
      <w:pageBreakBefore w:val="0"/>
      <w:tabs>
        <w:tab w:val="left" w:pos="1080"/>
      </w:tabs>
      <w:spacing w:after="80" w:before="80" w:lineRule="auto"/>
      <w:jc w:val="both"/>
    </w:pPr>
    <w:rPr>
      <w:sz w:val="28"/>
      <w:szCs w:val="28"/>
    </w:rPr>
  </w:style>
  <w:style w:type="paragraph" w:styleId="Heading4">
    <w:name w:val="heading 4"/>
    <w:basedOn w:val="Normal"/>
    <w:next w:val="Normal"/>
    <w:pPr>
      <w:keepNext w:val="1"/>
      <w:keepLines w:val="1"/>
      <w:pageBreakBefore w:val="0"/>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