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100% Infill stress-strain comparison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Note: the chi-squared is significant (p&lt;0.05)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Interesting to see that the repaired have a higher young’s modulus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24438" cy="376832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76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Comparison of maximum load able to be held (box and whisker).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14838" cy="27227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72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a more tabulated way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91150" cy="1019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All 100% infill tests on a single plot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