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E86" w:rsidRDefault="005F6E86" w:rsidP="005F6E86">
      <w:pPr>
        <w:pStyle w:val="Heading2"/>
      </w:pPr>
      <w:r>
        <w:t>Background</w:t>
      </w:r>
    </w:p>
    <w:p w:rsidR="0000625C" w:rsidRPr="0000625C" w:rsidRDefault="00630523" w:rsidP="00630523">
      <w:r>
        <w:t xml:space="preserve">The mass concentration of a population of particle type </w:t>
      </w:r>
      <w:proofErr w:type="spellStart"/>
      <w:r>
        <w:rPr>
          <w:i/>
        </w:rPr>
        <w:t>i</w:t>
      </w:r>
      <w:proofErr w:type="spellEnd"/>
      <w:r>
        <w:t xml:space="preserve"> is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p,i</m:t>
            </m:r>
          </m:sub>
        </m:sSub>
        <m:sSub>
          <m:sSubPr>
            <m:ctrlPr>
              <w:rPr>
                <w:rFonts w:ascii="Cambria Math" w:hAnsi="Cambria Math"/>
                <w:i/>
              </w:rPr>
            </m:ctrlPr>
          </m:sSubPr>
          <m:e>
            <m:r>
              <w:rPr>
                <w:rFonts w:ascii="Cambria Math" w:hAnsi="Cambria Math"/>
              </w:rPr>
              <m:t>ρ</m:t>
            </m:r>
          </m:e>
          <m:sub>
            <m:r>
              <w:rPr>
                <w:rFonts w:ascii="Cambria Math" w:hAnsi="Cambria Math"/>
              </w:rPr>
              <m:t>i</m:t>
            </m:r>
          </m:sub>
        </m:sSub>
      </m:oMath>
    </w:p>
    <w:p w:rsidR="00630523" w:rsidRPr="0000625C" w:rsidRDefault="00630523" w:rsidP="00630523">
      <w:r>
        <w:rPr>
          <w:iCs/>
        </w:rPr>
        <w:t xml:space="preserve">where </w:t>
      </w:r>
      <w:r>
        <w:rPr>
          <w:rFonts w:ascii="Symbol" w:hAnsi="Symbol"/>
          <w:i/>
        </w:rPr>
        <w:t></w:t>
      </w:r>
      <w:proofErr w:type="spellStart"/>
      <w:r w:rsidRPr="00746130">
        <w:rPr>
          <w:i/>
          <w:vertAlign w:val="subscript"/>
        </w:rPr>
        <w:t>i</w:t>
      </w:r>
      <w:proofErr w:type="spellEnd"/>
      <w:r w:rsidDel="000B4709">
        <w:rPr>
          <w:iCs/>
        </w:rPr>
        <w:t xml:space="preserve"> </w:t>
      </w:r>
      <w:r>
        <w:rPr>
          <w:iCs/>
        </w:rPr>
        <w:t xml:space="preserve">is individual particle density, </w:t>
      </w:r>
      <w:r w:rsidRPr="00746130">
        <w:rPr>
          <w:i/>
        </w:rPr>
        <w:t>N</w:t>
      </w:r>
      <w:r w:rsidRPr="00746130">
        <w:rPr>
          <w:i/>
          <w:vertAlign w:val="subscript"/>
        </w:rPr>
        <w:t>i</w:t>
      </w:r>
      <w:r>
        <w:t xml:space="preserve"> is the number concentration of particles of type </w:t>
      </w:r>
      <w:proofErr w:type="spellStart"/>
      <w:proofErr w:type="gramStart"/>
      <w:r w:rsidRPr="00746130">
        <w:rPr>
          <w:i/>
        </w:rPr>
        <w:t>i</w:t>
      </w:r>
      <w:proofErr w:type="spellEnd"/>
      <w:r>
        <w:t xml:space="preserve"> ,</w:t>
      </w:r>
      <w:proofErr w:type="gramEnd"/>
      <w:r>
        <w:t xml:space="preserve"> and </w:t>
      </w:r>
      <w:proofErr w:type="spellStart"/>
      <w:r w:rsidRPr="00746130">
        <w:rPr>
          <w:i/>
        </w:rPr>
        <w:t>V</w:t>
      </w:r>
      <w:r w:rsidR="0000625C" w:rsidRPr="0000625C">
        <w:rPr>
          <w:i/>
          <w:vertAlign w:val="subscript"/>
        </w:rPr>
        <w:t>p</w:t>
      </w:r>
      <w:r w:rsidR="0000625C">
        <w:rPr>
          <w:i/>
        </w:rPr>
        <w:t>,</w:t>
      </w:r>
      <w:r w:rsidRPr="00746130">
        <w:rPr>
          <w:i/>
          <w:vertAlign w:val="subscript"/>
        </w:rPr>
        <w:t>i</w:t>
      </w:r>
      <w:proofErr w:type="spellEnd"/>
      <w:r>
        <w:t xml:space="preserve"> is individual particle volume. It is possible to assume that the bulk optical response (e.g., backscattering or beam attenuation) of a sub-population </w:t>
      </w:r>
      <w:proofErr w:type="spellStart"/>
      <w:proofErr w:type="gramStart"/>
      <w:r w:rsidRPr="00746130">
        <w:rPr>
          <w:i/>
        </w:rPr>
        <w:t>b</w:t>
      </w:r>
      <w:r w:rsidRPr="00746130">
        <w:rPr>
          <w:i/>
          <w:vertAlign w:val="subscript"/>
        </w:rPr>
        <w:t>x</w:t>
      </w:r>
      <w:r>
        <w:rPr>
          <w:i/>
          <w:vertAlign w:val="subscript"/>
        </w:rPr>
        <w:t>,i</w:t>
      </w:r>
      <w:proofErr w:type="spellEnd"/>
      <w:proofErr w:type="gramEnd"/>
      <w:r>
        <w:t xml:space="preserve">, is the simple sum of the individual responses so that </w:t>
      </w:r>
    </w:p>
    <w:p w:rsidR="00630523" w:rsidRDefault="00630523" w:rsidP="00630523">
      <w:pPr>
        <w:pStyle w:val="MTDisplayEquation"/>
      </w:pPr>
      <w:r>
        <w:tab/>
      </w:r>
      <w:r w:rsidRPr="00F407B1">
        <w:rPr>
          <w:position w:val="-14"/>
        </w:rPr>
        <w:object w:dxaOrig="1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8.75pt" o:ole="">
            <v:imagedata r:id="rId4" o:title=""/>
          </v:shape>
          <o:OLEObject Type="Embed" ProgID="Equation.DSMT4" ShapeID="_x0000_i1025" DrawAspect="Content" ObjectID="_1603566474" r:id="rId5"/>
        </w:object>
      </w:r>
      <w:r>
        <w:t xml:space="preserve"> </w:t>
      </w:r>
      <w:r>
        <w:tab/>
      </w:r>
      <w:r w:rsidR="0095614B">
        <w:t>(1)</w:t>
      </w:r>
    </w:p>
    <w:p w:rsidR="00630523" w:rsidRDefault="00630523" w:rsidP="00477FDE">
      <w:r>
        <w:t>and that the bulk response to the combined sub-populations is</w:t>
      </w:r>
    </w:p>
    <w:p w:rsidR="00630523" w:rsidRPr="00F407B1" w:rsidRDefault="00630523" w:rsidP="00630523">
      <w:pPr>
        <w:pStyle w:val="MTDisplayEquation"/>
      </w:pPr>
      <w:r>
        <w:tab/>
      </w:r>
      <w:r w:rsidRPr="00F407B1">
        <w:rPr>
          <w:position w:val="-16"/>
        </w:rPr>
        <w:object w:dxaOrig="1140" w:dyaOrig="420">
          <v:shape id="_x0000_i1026" type="#_x0000_t75" style="width:57pt;height:21pt" o:ole="">
            <v:imagedata r:id="rId6" o:title=""/>
          </v:shape>
          <o:OLEObject Type="Embed" ProgID="Equation.DSMT4" ShapeID="_x0000_i1026" DrawAspect="Content" ObjectID="_1603566475" r:id="rId7"/>
        </w:object>
      </w:r>
      <w:r>
        <w:t xml:space="preserve"> </w:t>
      </w:r>
      <w:r>
        <w:tab/>
      </w:r>
      <w:r w:rsidR="0095614B">
        <w:t>(2)</w:t>
      </w:r>
    </w:p>
    <w:p w:rsidR="00EE5356" w:rsidRDefault="00630523" w:rsidP="00630523">
      <w:r>
        <w:t xml:space="preserve">where </w:t>
      </w:r>
      <w:r w:rsidRPr="00746130">
        <w:rPr>
          <w:i/>
        </w:rPr>
        <w:t>α</w:t>
      </w:r>
      <w:proofErr w:type="spellStart"/>
      <w:proofErr w:type="gramStart"/>
      <w:r w:rsidRPr="00746130">
        <w:rPr>
          <w:i/>
          <w:vertAlign w:val="subscript"/>
        </w:rPr>
        <w:t>v,i</w:t>
      </w:r>
      <w:proofErr w:type="spellEnd"/>
      <w:proofErr w:type="gramEnd"/>
      <w:r>
        <w:t>, is a volume-specific optical property</w:t>
      </w:r>
      <w:r>
        <w:rPr>
          <w:i/>
        </w:rPr>
        <w:t>.</w:t>
      </w:r>
      <w:r>
        <w:t xml:space="preserve"> </w:t>
      </w:r>
      <w:r w:rsidRPr="00746130">
        <w:rPr>
          <w:i/>
        </w:rPr>
        <w:t>α</w:t>
      </w:r>
      <w:proofErr w:type="spellStart"/>
      <w:proofErr w:type="gramStart"/>
      <w:r w:rsidRPr="00746130">
        <w:rPr>
          <w:i/>
          <w:vertAlign w:val="subscript"/>
        </w:rPr>
        <w:t>v,i</w:t>
      </w:r>
      <w:proofErr w:type="spellEnd"/>
      <w:proofErr w:type="gramEnd"/>
      <w:r>
        <w:t xml:space="preserve"> are typically calculated using Mie theory.</w:t>
      </w:r>
    </w:p>
    <w:p w:rsidR="00630523" w:rsidRDefault="00630523" w:rsidP="00630523"/>
    <w:p w:rsidR="00630523" w:rsidRDefault="00630523" w:rsidP="00630523">
      <w:r>
        <w:t xml:space="preserve">However, this neglects interactions among particles. I wanted to investigate the effect of occlusion (shadowing) of particles by other particles. When there is only one particle in the sample volume, the </w:t>
      </w:r>
      <w:r w:rsidR="0028195D">
        <w:t>sampled</w:t>
      </w:r>
      <w:r>
        <w:t xml:space="preserve"> area is identical to the area of that particle. If there is more than one particle in the sample volume, it is possible that they will overlap, and the </w:t>
      </w:r>
      <w:r w:rsidR="0028195D">
        <w:t xml:space="preserve">area sampled </w:t>
      </w:r>
      <w:r w:rsidR="0000625C">
        <w:t xml:space="preserve">for backscattering or </w:t>
      </w:r>
      <w:r w:rsidR="0028195D">
        <w:t>transmissivity</w:t>
      </w:r>
      <w:r w:rsidR="0000625C">
        <w:t xml:space="preserve"> </w:t>
      </w:r>
      <w:r>
        <w:t xml:space="preserve">will be less than the sum of the particle areas and, as the number of particles increases, the likelihood that </w:t>
      </w:r>
      <w:r w:rsidR="0028195D">
        <w:t>sampled</w:t>
      </w:r>
      <w:r>
        <w:t xml:space="preserve"> area is significantly less than the particle area increases.</w:t>
      </w:r>
    </w:p>
    <w:p w:rsidR="00630523" w:rsidRDefault="00630523" w:rsidP="00630523"/>
    <w:p w:rsidR="005F6E86" w:rsidRDefault="005F6E86" w:rsidP="005F6E86">
      <w:pPr>
        <w:pStyle w:val="Heading2"/>
      </w:pPr>
      <w:r>
        <w:t>Method</w:t>
      </w:r>
    </w:p>
    <w:p w:rsidR="00477FDE" w:rsidRPr="00477FDE" w:rsidRDefault="00630523" w:rsidP="00630523">
      <w:r>
        <w:t xml:space="preserve">I approached this using a Monte Carlo simulation of randomly positioned spherical </w:t>
      </w:r>
      <w:r w:rsidR="0028195D">
        <w:t>particles and</w:t>
      </w:r>
      <w:r>
        <w:t xml:space="preserve"> compared the </w:t>
      </w:r>
      <w:r w:rsidR="0028195D">
        <w:t>sampled</w:t>
      </w:r>
      <w:r>
        <w:t xml:space="preserve"> area with the particle area for a range of concentrations and particle sizes.</w:t>
      </w:r>
      <w:r w:rsidR="00477FDE">
        <w:t xml:space="preserve"> For a given volume concentration </w:t>
      </w:r>
      <m:oMath>
        <m:sSub>
          <m:sSubPr>
            <m:ctrlPr>
              <w:rPr>
                <w:rFonts w:ascii="Cambria Math" w:hAnsi="Cambria Math"/>
                <w:i/>
              </w:rPr>
            </m:ctrlPr>
          </m:sSubPr>
          <m:e>
            <m:r>
              <w:rPr>
                <w:rFonts w:ascii="Cambria Math" w:hAnsi="Cambria Math"/>
              </w:rPr>
              <m:t>V</m:t>
            </m:r>
          </m:e>
          <m:sub>
            <m:r>
              <w:rPr>
                <w:rFonts w:ascii="Cambria Math" w:hAnsi="Cambria Math"/>
              </w:rPr>
              <m:t>v</m:t>
            </m:r>
          </m:sub>
        </m:sSub>
      </m:oMath>
      <w:r w:rsidR="00477FDE">
        <w:t xml:space="preserve"> and uniform particle radius </w:t>
      </w:r>
      <w:r w:rsidR="00477FDE" w:rsidRPr="00477FDE">
        <w:rPr>
          <w:i/>
        </w:rPr>
        <w:t>r</w:t>
      </w:r>
      <w:r w:rsidR="00477FDE">
        <w:t xml:space="preserve">, the number of particles </w:t>
      </w:r>
      <w:r w:rsidR="00477FDE" w:rsidRPr="00477FDE">
        <w:rPr>
          <w:i/>
        </w:rPr>
        <w:t>N</w:t>
      </w:r>
      <w:r w:rsidR="00477FDE">
        <w:t xml:space="preserve"> in a sample volume </w:t>
      </w:r>
      <m:oMath>
        <m:sSub>
          <m:sSubPr>
            <m:ctrlPr>
              <w:rPr>
                <w:rFonts w:ascii="Cambria Math" w:hAnsi="Cambria Math"/>
                <w:i/>
              </w:rPr>
            </m:ctrlPr>
          </m:sSubPr>
          <m:e>
            <m:r>
              <w:rPr>
                <w:rFonts w:ascii="Cambria Math" w:hAnsi="Cambria Math"/>
              </w:rPr>
              <m:t>V</m:t>
            </m:r>
          </m:e>
          <m:sub>
            <m:r>
              <w:rPr>
                <w:rFonts w:ascii="Cambria Math" w:hAnsi="Cambria Math"/>
              </w:rPr>
              <m:t>v</m:t>
            </m:r>
          </m:sub>
        </m:sSub>
      </m:oMath>
      <w:r w:rsidR="00477FDE">
        <w:t xml:space="preserve"> is</w:t>
      </w:r>
    </w:p>
    <w:p w:rsidR="00630523" w:rsidRPr="00477FDE" w:rsidRDefault="00477FDE" w:rsidP="00630523">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sSub>
                <m:sSubPr>
                  <m:ctrlPr>
                    <w:rPr>
                      <w:rFonts w:ascii="Cambria Math" w:hAnsi="Cambria Math"/>
                      <w:i/>
                    </w:rPr>
                  </m:ctrlPr>
                </m:sSubPr>
                <m:e>
                  <m:r>
                    <w:rPr>
                      <w:rFonts w:ascii="Cambria Math" w:hAnsi="Cambria Math"/>
                    </w:rPr>
                    <m:t>V</m:t>
                  </m:r>
                </m:e>
                <m:sub>
                  <m:r>
                    <w:rPr>
                      <w:rFonts w:ascii="Cambria Math" w:hAnsi="Cambria Math"/>
                    </w:rPr>
                    <m:t>v</m:t>
                  </m:r>
                </m:sub>
              </m:sSub>
            </m:num>
            <m:den>
              <m:sSub>
                <m:sSubPr>
                  <m:ctrlPr>
                    <w:rPr>
                      <w:rFonts w:ascii="Cambria Math" w:hAnsi="Cambria Math"/>
                      <w:i/>
                    </w:rPr>
                  </m:ctrlPr>
                </m:sSubPr>
                <m:e>
                  <m:r>
                    <w:rPr>
                      <w:rFonts w:ascii="Cambria Math" w:hAnsi="Cambria Math"/>
                    </w:rPr>
                    <m:t>V</m:t>
                  </m:r>
                </m:e>
                <m:sub>
                  <m:r>
                    <w:rPr>
                      <w:rFonts w:ascii="Cambria Math" w:hAnsi="Cambria Math"/>
                    </w:rPr>
                    <m:t>p</m:t>
                  </m:r>
                </m:sub>
              </m:sSub>
            </m:den>
          </m:f>
        </m:oMath>
      </m:oMathPara>
    </w:p>
    <w:p w:rsidR="00477FDE" w:rsidRDefault="00477FDE" w:rsidP="00630523">
      <w:r>
        <w:t xml:space="preserve">where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is the vo</w:t>
      </w:r>
      <w:r w:rsidR="0000625C">
        <w:t xml:space="preserve">lume of an individual </w:t>
      </w:r>
      <w:proofErr w:type="gramStart"/>
      <w:r w:rsidR="0000625C">
        <w:t>particle.</w:t>
      </w:r>
      <w:proofErr w:type="gramEnd"/>
      <w:r w:rsidR="0000625C">
        <w:t xml:space="preserve"> (The index denoting particle type has been dropped, as we are only considering </w:t>
      </w:r>
      <w:r w:rsidR="0028195D">
        <w:t>homogenous</w:t>
      </w:r>
      <w:r w:rsidR="0000625C">
        <w:t xml:space="preserve"> particle population</w:t>
      </w:r>
      <w:r w:rsidR="0028195D">
        <w:t>s</w:t>
      </w:r>
      <w:r w:rsidR="0000625C">
        <w:t xml:space="preserve"> for now). </w:t>
      </w:r>
      <w:r>
        <w:t xml:space="preserve">Assuming there is no occlusion, the </w:t>
      </w:r>
      <w:r w:rsidR="0000625C">
        <w:t xml:space="preserve">projected area is the sum of </w:t>
      </w:r>
      <w:proofErr w:type="gramStart"/>
      <w:r w:rsidR="0000625C">
        <w:t>all of</w:t>
      </w:r>
      <w:proofErr w:type="gramEnd"/>
      <w:r w:rsidR="0000625C">
        <w:t xml:space="preserve"> the particle areas:</w:t>
      </w:r>
    </w:p>
    <w:p w:rsidR="0000625C" w:rsidRPr="0028195D" w:rsidRDefault="006F6EEF" w:rsidP="00630523">
      <m:oMathPara>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=N</m:t>
          </m:r>
          <m:sSup>
            <m:sSupPr>
              <m:ctrlPr>
                <w:rPr>
                  <w:rFonts w:ascii="Cambria Math" w:hAnsi="Cambria Math"/>
                  <w:i/>
                </w:rPr>
              </m:ctrlPr>
            </m:sSupPr>
            <m:e>
              <m:r>
                <w:rPr>
                  <w:rFonts w:ascii="Cambria Math" w:hAnsi="Cambria Math"/>
                </w:rPr>
                <m:t>πr</m:t>
              </m:r>
            </m:e>
            <m:sup>
              <m:r>
                <w:rPr>
                  <w:rFonts w:ascii="Cambria Math" w:hAnsi="Cambria Math"/>
                </w:rPr>
                <m:t>2</m:t>
              </m:r>
            </m:sup>
          </m:sSup>
        </m:oMath>
      </m:oMathPara>
    </w:p>
    <w:p w:rsidR="0028195D" w:rsidRDefault="00BF6C42" w:rsidP="00630523">
      <w:r>
        <w:t>T</w:t>
      </w:r>
      <w:r w:rsidR="0028195D">
        <w:t xml:space="preserve">he sampled area </w:t>
      </w:r>
      <w:r>
        <w:t xml:space="preserve">was calculated </w:t>
      </w:r>
      <w:r w:rsidR="0028195D">
        <w:t xml:space="preserve">by creating </w:t>
      </w:r>
      <w:r w:rsidR="007F5545">
        <w:t>an</w:t>
      </w:r>
      <w:r w:rsidR="0028195D">
        <w:t xml:space="preserve"> array of pixels and mapping the projected area of </w:t>
      </w:r>
      <w:r w:rsidR="0028195D" w:rsidRPr="0028195D">
        <w:rPr>
          <w:i/>
        </w:rPr>
        <w:t>N</w:t>
      </w:r>
      <w:r w:rsidR="0028195D">
        <w:t xml:space="preserve"> particles with centers at random</w:t>
      </w:r>
      <w:r w:rsidR="007F5545">
        <w:t xml:space="preserve"> locations in</w:t>
      </w:r>
      <w:r w:rsidR="0028195D">
        <w:t xml:space="preserve"> the </w:t>
      </w:r>
      <w:r>
        <w:t>sample area</w:t>
      </w:r>
      <w:r w:rsidR="0028195D">
        <w:t xml:space="preserve">. </w:t>
      </w:r>
      <w:r w:rsidR="00DE4A83">
        <w:t xml:space="preserve">An array </w:t>
      </w:r>
      <w:r w:rsidR="00DE4A83" w:rsidRPr="00DE4A83">
        <w:rPr>
          <w:i/>
        </w:rPr>
        <w:t>p</w:t>
      </w:r>
      <w:r w:rsidR="00DE4A83">
        <w:t xml:space="preserve"> was used </w:t>
      </w:r>
      <w:r w:rsidR="007F5545">
        <w:t>to track occluded pixels</w:t>
      </w:r>
      <w:r w:rsidR="00DE4A83">
        <w:t>. The array was</w:t>
      </w:r>
      <w:r w:rsidR="007F5545">
        <w:t xml:space="preserve"> initialized with </w:t>
      </w:r>
      <w:proofErr w:type="gramStart"/>
      <w:r w:rsidR="007F5545">
        <w:t>zeros</w:t>
      </w:r>
      <w:r w:rsidR="00DE4A83">
        <w:t>, and</w:t>
      </w:r>
      <w:proofErr w:type="gramEnd"/>
      <w:r w:rsidR="00DE4A83">
        <w:t xml:space="preserve"> </w:t>
      </w:r>
      <w:r w:rsidR="007F5545">
        <w:t xml:space="preserve">set to one if </w:t>
      </w:r>
      <w:r w:rsidR="00DE4A83">
        <w:t xml:space="preserve">the pixel it represented </w:t>
      </w:r>
      <w:r w:rsidR="007F5545">
        <w:t xml:space="preserve">it overlapped with </w:t>
      </w:r>
      <w:r w:rsidR="00DE4A83">
        <w:t xml:space="preserve">the area of </w:t>
      </w:r>
      <w:r w:rsidR="007F5545">
        <w:t xml:space="preserve">any particle. </w:t>
      </w:r>
      <w:r w:rsidR="00DE4A83">
        <w:t xml:space="preserve">The sample area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DE4A83">
        <w:t xml:space="preserve">was determined as </w:t>
      </w:r>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a</m:t>
                </m:r>
              </m:e>
            </m:nary>
          </m:e>
        </m:nary>
      </m:oMath>
      <w:r w:rsidR="00DE4A83">
        <w:t xml:space="preserve">, where </w:t>
      </w:r>
      <w:proofErr w:type="spellStart"/>
      <w:r w:rsidR="00DE4A83" w:rsidRPr="00DE4A83">
        <w:rPr>
          <w:i/>
        </w:rPr>
        <w:t>i</w:t>
      </w:r>
      <w:proofErr w:type="spellEnd"/>
      <w:r w:rsidR="00DE4A83">
        <w:t xml:space="preserve"> and </w:t>
      </w:r>
      <w:r w:rsidR="00DE4A83" w:rsidRPr="00DE4A83">
        <w:rPr>
          <w:i/>
        </w:rPr>
        <w:t>j</w:t>
      </w:r>
      <w:r w:rsidR="00DE4A83">
        <w:t xml:space="preserve"> are indices into array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DE4A83">
        <w:t xml:space="preserve">and </w:t>
      </w:r>
      <w:r w:rsidR="00DE4A83" w:rsidRPr="00DE4A83">
        <w:rPr>
          <w:i/>
        </w:rPr>
        <w:t>a</w:t>
      </w:r>
      <w:r w:rsidR="00DE4A83">
        <w:t xml:space="preserve"> is the area of a pixel.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DE4A83">
        <w:t xml:space="preserve"> equals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rsidR="00DE4A83">
        <w:t xml:space="preserve">when there are no overlapping particles, but as the number of particles increase and they begin to occlude each other, </w:t>
      </w:r>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p</m:t>
            </m:r>
          </m:sub>
        </m:sSub>
      </m:oMath>
      <w:r w:rsidR="00FB2C66">
        <w:t>.</w:t>
      </w:r>
    </w:p>
    <w:p w:rsidR="00FB2C66" w:rsidRDefault="00FB2C66" w:rsidP="00630523"/>
    <w:p w:rsidR="009E42DC" w:rsidRDefault="00FB2C66" w:rsidP="00630523">
      <w:r>
        <w:lastRenderedPageBreak/>
        <w:t xml:space="preserve">There is a small error associated representing round shapes with a pattern of square pixels. This error decreases as the relative particle radius increases and is less than 1% for particles with </w:t>
      </w:r>
      <m:oMath>
        <m:r>
          <w:rPr>
            <w:rFonts w:ascii="Cambria Math" w:hAnsi="Cambria Math"/>
          </w:rPr>
          <m:t>r≥12</m:t>
        </m:r>
      </m:oMath>
      <w:r>
        <w:t xml:space="preserve"> pixels. There is also an edge effect. If particles are not fully contained in the sample area,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t xml:space="preserve"> </w:t>
      </w:r>
      <w:r w:rsidR="006E138E">
        <w:t xml:space="preserve">is </w:t>
      </w:r>
      <w:r w:rsidR="009F3F50">
        <w:t xml:space="preserve">still </w:t>
      </w:r>
      <w:r w:rsidR="006E138E">
        <w:t xml:space="preserve">correct, but </w:t>
      </w: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 xml:space="preserve"> </m:t>
        </m:r>
      </m:oMath>
      <w:r w:rsidR="006E138E">
        <w:t>as calculated above is</w:t>
      </w:r>
      <w:r>
        <w:t xml:space="preserve"> overestimate</w:t>
      </w:r>
      <w:r w:rsidR="006E138E">
        <w:t>d</w:t>
      </w:r>
      <w:r w:rsidR="00A2550D">
        <w:t xml:space="preserve"> because it includes areas of particles only partially within the sample area</w:t>
      </w:r>
      <w:r w:rsidR="006E138E">
        <w:t xml:space="preserve">. </w:t>
      </w:r>
      <w:r w:rsidR="00DE7DA2">
        <w:t xml:space="preserve">This was resolved by using a second array </w:t>
      </w:r>
      <w:r w:rsidR="00DE7DA2" w:rsidRPr="00DE7DA2">
        <w:rPr>
          <w:i/>
        </w:rPr>
        <w:t>a</w:t>
      </w:r>
      <w:r w:rsidR="00DE7DA2" w:rsidRPr="00DE7DA2">
        <w:rPr>
          <w:i/>
          <w:vertAlign w:val="subscript"/>
        </w:rPr>
        <w:t>s</w:t>
      </w:r>
      <w:r w:rsidR="009F3F50">
        <w:t xml:space="preserve"> </w:t>
      </w:r>
      <w:r w:rsidR="00DE7DA2">
        <w:t xml:space="preserve">which was incremented (rather than set to one) each time a pixel fell within the radius of a particle. The sum over this array produces a value of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rsidR="00DE7DA2">
        <w:t xml:space="preserve"> that correctly represents the area of all particles, </w:t>
      </w:r>
      <w:r w:rsidR="0098365B">
        <w:t>accounting for</w:t>
      </w:r>
      <w:r w:rsidR="00DE7DA2">
        <w:t xml:space="preserve"> the fraction</w:t>
      </w:r>
      <w:r w:rsidR="0098365B">
        <w:t xml:space="preserve">al </w:t>
      </w:r>
      <w:r w:rsidR="00DE7DA2">
        <w:t>area</w:t>
      </w:r>
      <w:r w:rsidR="0098365B">
        <w:t xml:space="preserve">s of </w:t>
      </w:r>
      <w:r w:rsidR="00DE7DA2">
        <w:t>particles that are only partially included in the sample area.</w:t>
      </w:r>
      <w:r w:rsidR="0098365B">
        <w:t xml:space="preserve"> It also compensates for the discrepancy between the circular area and the pixel representation by using the pixel areas for both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5F6E86">
        <w:t xml:space="preserve"> </w:t>
      </w:r>
      <w:r w:rsidR="0098365B">
        <w:t xml:space="preserve">and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rsidR="005F6E86">
        <w:t>.</w:t>
      </w:r>
    </w:p>
    <w:p w:rsidR="009E42DC" w:rsidRDefault="009E42DC">
      <w:pPr>
        <w:spacing w:after="160" w:line="259" w:lineRule="auto"/>
        <w:jc w:val="left"/>
      </w:pPr>
      <w:r>
        <w:br w:type="page"/>
      </w:r>
    </w:p>
    <w:p w:rsidR="00FB2C66" w:rsidRDefault="00FB2C66" w:rsidP="00630523"/>
    <w:p w:rsidR="005D0A6D" w:rsidRDefault="005D0A6D" w:rsidP="005D0A6D">
      <w:pPr>
        <w:pStyle w:val="Heading2"/>
      </w:pPr>
      <w:r>
        <w:t>Results</w:t>
      </w:r>
    </w:p>
    <w:p w:rsidR="0098365B" w:rsidRDefault="008E3662" w:rsidP="00630523">
      <w:r>
        <w:t>Sample particle distributions (Figs. 1 -3) illustrate the results of individual simulations of particle locations in a 1-mm</w:t>
      </w:r>
      <w:r w:rsidRPr="008E3662">
        <w:rPr>
          <w:vertAlign w:val="superscript"/>
        </w:rPr>
        <w:t>2</w:t>
      </w:r>
      <w:r>
        <w:t xml:space="preserve"> sample area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oMath>
      <w:r>
        <w:t xml:space="preserve">represented by </w:t>
      </w:r>
      <w:proofErr w:type="gramStart"/>
      <w:r>
        <w:t>a grid of 1000 x 1000 pixels</w:t>
      </w:r>
      <w:proofErr w:type="gramEnd"/>
      <w:r>
        <w:t xml:space="preserve">, each 1 square </w:t>
      </w:r>
      <w:r w:rsidRPr="008E3662">
        <w:rPr>
          <w:i/>
        </w:rPr>
        <w:t>µ</w:t>
      </w:r>
      <w:r>
        <w:t xml:space="preserve">m. The particles (colored circles) are randomly located in the sample </w:t>
      </w:r>
      <w:proofErr w:type="gramStart"/>
      <w:r>
        <w:t>area, and</w:t>
      </w:r>
      <w:proofErr w:type="gramEnd"/>
      <w:r>
        <w:t xml:space="preserve"> may overlap.</w:t>
      </w:r>
      <w:r w:rsidR="009E42DC" w:rsidRPr="009E42DC">
        <w:t xml:space="preserve"> </w:t>
      </w:r>
      <w:r w:rsidR="009E42DC">
        <w:t>Overlapping particles are indicated by hot</w:t>
      </w:r>
      <w:bookmarkStart w:id="0" w:name="_GoBack"/>
      <w:bookmarkEnd w:id="0"/>
      <w:r w:rsidR="009E42DC">
        <w:t xml:space="preserve">ter colors. The number of particles required to represent a given volume concentration decreases with particle concentration, so only a few of the large (50 </w:t>
      </w:r>
      <w:proofErr w:type="gramStart"/>
      <w:r w:rsidR="009E42DC" w:rsidRPr="0098365B">
        <w:rPr>
          <w:i/>
        </w:rPr>
        <w:t>µ</w:t>
      </w:r>
      <w:r w:rsidR="009E42DC">
        <w:t>m )</w:t>
      </w:r>
      <w:proofErr w:type="gramEnd"/>
      <w:r w:rsidR="009E42DC">
        <w:t xml:space="preserve"> particles in Figure 1 overlap. When no particles overlap, the particle area </w:t>
      </w:r>
      <w:proofErr w:type="spellStart"/>
      <w:r w:rsidR="009E42DC" w:rsidRPr="0098365B">
        <w:rPr>
          <w:i/>
        </w:rPr>
        <w:t>A</w:t>
      </w:r>
      <w:r w:rsidR="009E42DC" w:rsidRPr="0098365B">
        <w:rPr>
          <w:i/>
          <w:vertAlign w:val="subscript"/>
        </w:rPr>
        <w:t>p</w:t>
      </w:r>
      <w:proofErr w:type="spellEnd"/>
      <w:r w:rsidR="009E42DC">
        <w:t xml:space="preserve"> and the sampled particle area </w:t>
      </w:r>
      <w:proofErr w:type="gramStart"/>
      <w:r w:rsidR="009E42DC" w:rsidRPr="0098365B">
        <w:rPr>
          <w:i/>
        </w:rPr>
        <w:t>A</w:t>
      </w:r>
      <w:r w:rsidR="009E42DC" w:rsidRPr="0098365B">
        <w:rPr>
          <w:i/>
          <w:vertAlign w:val="subscript"/>
        </w:rPr>
        <w:t>s</w:t>
      </w:r>
      <w:proofErr w:type="gramEnd"/>
      <w:r w:rsidR="009E42DC">
        <w:t xml:space="preserve"> are identical. But when portions of one or more particles are occluded, and thus obscured from view, the sampled particle area </w:t>
      </w:r>
      <w:proofErr w:type="gramStart"/>
      <w:r w:rsidR="009E42DC" w:rsidRPr="0098365B">
        <w:rPr>
          <w:i/>
        </w:rPr>
        <w:t>A</w:t>
      </w:r>
      <w:r w:rsidR="009E42DC" w:rsidRPr="0098365B">
        <w:rPr>
          <w:i/>
          <w:vertAlign w:val="subscript"/>
        </w:rPr>
        <w:t>s</w:t>
      </w:r>
      <w:proofErr w:type="gramEnd"/>
      <w:r w:rsidR="009E42DC">
        <w:t xml:space="preserve"> decreases relative to </w:t>
      </w:r>
      <w:r w:rsidR="009E42DC" w:rsidRPr="0098365B">
        <w:rPr>
          <w:i/>
        </w:rPr>
        <w:t>A</w:t>
      </w:r>
      <w:r w:rsidR="009E42DC" w:rsidRPr="0098365B">
        <w:rPr>
          <w:i/>
          <w:vertAlign w:val="subscript"/>
        </w:rPr>
        <w:t>p</w:t>
      </w:r>
      <w:r w:rsidR="009E42DC">
        <w:t>.</w:t>
      </w:r>
    </w:p>
    <w:p w:rsidR="00DE7DA2" w:rsidRDefault="00DE7DA2" w:rsidP="00630523"/>
    <w:tbl>
      <w:tblPr>
        <w:tblStyle w:val="TableGrid"/>
        <w:tblW w:w="0" w:type="auto"/>
        <w:tblLook w:val="04A0" w:firstRow="1" w:lastRow="0" w:firstColumn="1" w:lastColumn="0" w:noHBand="0" w:noVBand="1"/>
      </w:tblPr>
      <w:tblGrid>
        <w:gridCol w:w="9350"/>
      </w:tblGrid>
      <w:tr w:rsidR="00F077CF" w:rsidTr="00F077CF">
        <w:tc>
          <w:tcPr>
            <w:tcW w:w="9350" w:type="dxa"/>
          </w:tcPr>
          <w:p w:rsidR="00F077CF" w:rsidRDefault="0030375A" w:rsidP="00630523">
            <w:r w:rsidRPr="0030375A">
              <w:rPr>
                <w:noProof/>
              </w:rPr>
              <w:drawing>
                <wp:inline distT="0" distB="0" distL="0" distR="0" wp14:anchorId="4A0E1F8B" wp14:editId="28122E34">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00500"/>
                          </a:xfrm>
                          <a:prstGeom prst="rect">
                            <a:avLst/>
                          </a:prstGeom>
                        </pic:spPr>
                      </pic:pic>
                    </a:graphicData>
                  </a:graphic>
                </wp:inline>
              </w:drawing>
            </w:r>
          </w:p>
        </w:tc>
      </w:tr>
      <w:tr w:rsidR="00F077CF" w:rsidTr="00F077CF">
        <w:tc>
          <w:tcPr>
            <w:tcW w:w="9350" w:type="dxa"/>
          </w:tcPr>
          <w:p w:rsidR="00F077CF" w:rsidRDefault="008E3662" w:rsidP="00630523">
            <w:r>
              <w:t xml:space="preserve">Figure 1. </w:t>
            </w:r>
            <w:r w:rsidR="0098365B">
              <w:t>Four simulations with a sample area</w:t>
            </w:r>
            <w:r w:rsidR="006F6EEF">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6F6EEF">
              <w:t xml:space="preserve"> </w:t>
            </w:r>
            <w:r w:rsidR="0098365B">
              <w:t>10</w:t>
            </w:r>
            <w:r w:rsidR="0098365B" w:rsidRPr="0098365B">
              <w:rPr>
                <w:vertAlign w:val="superscript"/>
              </w:rPr>
              <w:t>6</w:t>
            </w:r>
            <w:r w:rsidR="0098365B">
              <w:t xml:space="preserve"> </w:t>
            </w:r>
            <w:r w:rsidR="0098365B" w:rsidRPr="0098365B">
              <w:rPr>
                <w:i/>
              </w:rPr>
              <w:t>µ</w:t>
            </w:r>
            <w:r w:rsidR="0098365B">
              <w:t>m</w:t>
            </w:r>
            <w:r w:rsidR="0098365B" w:rsidRPr="0098365B">
              <w:rPr>
                <w:vertAlign w:val="superscript"/>
              </w:rPr>
              <w:t>2</w:t>
            </w:r>
            <w:r w:rsidR="0098365B">
              <w:t xml:space="preserve"> with </w:t>
            </w:r>
            <w:proofErr w:type="spellStart"/>
            <w:r w:rsidR="0098365B" w:rsidRPr="0098365B">
              <w:rPr>
                <w:i/>
              </w:rPr>
              <w:t>V</w:t>
            </w:r>
            <w:r w:rsidR="0098365B" w:rsidRPr="0098365B">
              <w:rPr>
                <w:i/>
                <w:vertAlign w:val="subscript"/>
              </w:rPr>
              <w:t>c</w:t>
            </w:r>
            <w:proofErr w:type="spellEnd"/>
            <w:r w:rsidR="0098365B">
              <w:t xml:space="preserve"> = 0.005 and </w:t>
            </w:r>
            <w:r w:rsidR="0098365B" w:rsidRPr="0098365B">
              <w:rPr>
                <w:i/>
              </w:rPr>
              <w:t>r</w:t>
            </w:r>
            <w:r w:rsidR="0098365B">
              <w:t xml:space="preserve"> = 50 </w:t>
            </w:r>
            <w:r w:rsidR="0098365B" w:rsidRPr="0098365B">
              <w:rPr>
                <w:i/>
              </w:rPr>
              <w:t>µ</w:t>
            </w:r>
            <w:r w:rsidR="0098365B">
              <w:t xml:space="preserve">m. When no particles are occluded, the sample area </w:t>
            </w:r>
            <w:proofErr w:type="gramStart"/>
            <w:r w:rsidR="0098365B" w:rsidRPr="0098365B">
              <w:rPr>
                <w:i/>
              </w:rPr>
              <w:t>A</w:t>
            </w:r>
            <w:r w:rsidR="0098365B" w:rsidRPr="0098365B">
              <w:rPr>
                <w:i/>
                <w:vertAlign w:val="subscript"/>
              </w:rPr>
              <w:t>s</w:t>
            </w:r>
            <w:proofErr w:type="gramEnd"/>
            <w:r w:rsidR="0098365B">
              <w:t xml:space="preserve"> is the same as the summed area of particles </w:t>
            </w:r>
            <w:proofErr w:type="spellStart"/>
            <w:r w:rsidR="0098365B" w:rsidRPr="0098365B">
              <w:rPr>
                <w:i/>
              </w:rPr>
              <w:t>A</w:t>
            </w:r>
            <w:r w:rsidR="0098365B" w:rsidRPr="0098365B">
              <w:rPr>
                <w:i/>
                <w:vertAlign w:val="subscript"/>
              </w:rPr>
              <w:t>p</w:t>
            </w:r>
            <w:proofErr w:type="spellEnd"/>
            <w:r w:rsidR="0098365B">
              <w:t xml:space="preserve">, but the ratio </w:t>
            </w:r>
            <w:r w:rsidR="0098365B" w:rsidRPr="0098365B">
              <w:rPr>
                <w:i/>
              </w:rPr>
              <w:t>A</w:t>
            </w:r>
            <w:r w:rsidR="0098365B" w:rsidRPr="0098365B">
              <w:rPr>
                <w:i/>
                <w:vertAlign w:val="subscript"/>
              </w:rPr>
              <w:t>s</w:t>
            </w:r>
            <w:r w:rsidR="0098365B">
              <w:t>/</w:t>
            </w:r>
            <w:proofErr w:type="spellStart"/>
            <w:r w:rsidR="0098365B" w:rsidRPr="0098365B">
              <w:rPr>
                <w:i/>
              </w:rPr>
              <w:t>A</w:t>
            </w:r>
            <w:r w:rsidR="0098365B" w:rsidRPr="0098365B">
              <w:rPr>
                <w:i/>
                <w:vertAlign w:val="subscript"/>
              </w:rPr>
              <w:t>p</w:t>
            </w:r>
            <w:proofErr w:type="spellEnd"/>
            <w:r w:rsidR="0098365B">
              <w:t xml:space="preserve"> drops when some particles are occluded.</w:t>
            </w:r>
          </w:p>
        </w:tc>
      </w:tr>
    </w:tbl>
    <w:p w:rsidR="00F077CF" w:rsidRDefault="00F077CF" w:rsidP="00630523"/>
    <w:tbl>
      <w:tblPr>
        <w:tblStyle w:val="TableGrid"/>
        <w:tblW w:w="0" w:type="auto"/>
        <w:tblLook w:val="04A0" w:firstRow="1" w:lastRow="0" w:firstColumn="1" w:lastColumn="0" w:noHBand="0" w:noVBand="1"/>
      </w:tblPr>
      <w:tblGrid>
        <w:gridCol w:w="9350"/>
      </w:tblGrid>
      <w:tr w:rsidR="00921EBA" w:rsidTr="00A02BDC">
        <w:tc>
          <w:tcPr>
            <w:tcW w:w="9350" w:type="dxa"/>
          </w:tcPr>
          <w:p w:rsidR="00921EBA" w:rsidRDefault="00921EBA" w:rsidP="00A02BDC">
            <w:r w:rsidRPr="00DE7DA2">
              <w:rPr>
                <w:noProof/>
              </w:rPr>
              <w:lastRenderedPageBreak/>
              <w:drawing>
                <wp:inline distT="0" distB="0" distL="0" distR="0" wp14:anchorId="1A87544E" wp14:editId="54BA0196">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000500"/>
                          </a:xfrm>
                          <a:prstGeom prst="rect">
                            <a:avLst/>
                          </a:prstGeom>
                        </pic:spPr>
                      </pic:pic>
                    </a:graphicData>
                  </a:graphic>
                </wp:inline>
              </w:drawing>
            </w:r>
          </w:p>
        </w:tc>
      </w:tr>
      <w:tr w:rsidR="00921EBA" w:rsidTr="00A02BDC">
        <w:tc>
          <w:tcPr>
            <w:tcW w:w="9350" w:type="dxa"/>
          </w:tcPr>
          <w:p w:rsidR="00921EBA" w:rsidRPr="00921EBA" w:rsidRDefault="008E3662" w:rsidP="00A02BDC">
            <w:r>
              <w:t xml:space="preserve">Figure 2. </w:t>
            </w:r>
            <w:r w:rsidR="00921EBA">
              <w:t>Four simulations with a sample area</w:t>
            </w:r>
            <w:r w:rsidR="006F6EEF">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921EBA">
              <w:t xml:space="preserve"> 10</w:t>
            </w:r>
            <w:r w:rsidR="00921EBA" w:rsidRPr="0098365B">
              <w:rPr>
                <w:vertAlign w:val="superscript"/>
              </w:rPr>
              <w:t>6</w:t>
            </w:r>
            <w:r w:rsidR="00921EBA">
              <w:t xml:space="preserve"> </w:t>
            </w:r>
            <w:r w:rsidR="00921EBA" w:rsidRPr="0098365B">
              <w:rPr>
                <w:i/>
              </w:rPr>
              <w:t>µ</w:t>
            </w:r>
            <w:r w:rsidR="00921EBA">
              <w:t>m</w:t>
            </w:r>
            <w:r w:rsidR="00921EBA" w:rsidRPr="0098365B">
              <w:rPr>
                <w:vertAlign w:val="superscript"/>
              </w:rPr>
              <w:t>2</w:t>
            </w:r>
            <w:r w:rsidR="00921EBA">
              <w:t xml:space="preserve"> with </w:t>
            </w:r>
            <w:proofErr w:type="spellStart"/>
            <w:r w:rsidR="00921EBA" w:rsidRPr="0098365B">
              <w:rPr>
                <w:i/>
              </w:rPr>
              <w:t>V</w:t>
            </w:r>
            <w:r w:rsidR="00921EBA" w:rsidRPr="0098365B">
              <w:rPr>
                <w:i/>
                <w:vertAlign w:val="subscript"/>
              </w:rPr>
              <w:t>c</w:t>
            </w:r>
            <w:proofErr w:type="spellEnd"/>
            <w:r w:rsidR="00921EBA">
              <w:t xml:space="preserve"> = 0.005 and </w:t>
            </w:r>
            <w:r w:rsidR="00921EBA" w:rsidRPr="0098365B">
              <w:rPr>
                <w:i/>
              </w:rPr>
              <w:t>r</w:t>
            </w:r>
            <w:r w:rsidR="00921EBA">
              <w:t xml:space="preserve"> = 12 </w:t>
            </w:r>
            <w:r w:rsidR="00921EBA" w:rsidRPr="0098365B">
              <w:rPr>
                <w:i/>
              </w:rPr>
              <w:t>µ</w:t>
            </w:r>
            <w:r w:rsidR="00921EBA">
              <w:t xml:space="preserve">m. Some particles are occluded in all of the simulations and, because of the large number of particles, there is little variation in </w:t>
            </w:r>
            <w:proofErr w:type="gramStart"/>
            <w:r w:rsidR="00921EBA" w:rsidRPr="0098365B">
              <w:rPr>
                <w:i/>
              </w:rPr>
              <w:t>A</w:t>
            </w:r>
            <w:r w:rsidR="00921EBA" w:rsidRPr="0098365B">
              <w:rPr>
                <w:i/>
                <w:vertAlign w:val="subscript"/>
              </w:rPr>
              <w:t>s</w:t>
            </w:r>
            <w:proofErr w:type="gramEnd"/>
            <w:r w:rsidR="00921EBA">
              <w:t>/</w:t>
            </w:r>
            <w:proofErr w:type="spellStart"/>
            <w:r w:rsidR="00921EBA" w:rsidRPr="0098365B">
              <w:rPr>
                <w:i/>
              </w:rPr>
              <w:t>A</w:t>
            </w:r>
            <w:r w:rsidR="00921EBA" w:rsidRPr="0098365B">
              <w:rPr>
                <w:i/>
                <w:vertAlign w:val="subscript"/>
              </w:rPr>
              <w:t>p</w:t>
            </w:r>
            <w:proofErr w:type="spellEnd"/>
            <w:r w:rsidR="00921EBA">
              <w:t xml:space="preserve"> among simulations.</w:t>
            </w:r>
          </w:p>
        </w:tc>
      </w:tr>
    </w:tbl>
    <w:p w:rsidR="009E42DC" w:rsidRDefault="009E42DC" w:rsidP="00630523"/>
    <w:p w:rsidR="00921EBA" w:rsidRPr="003A60F8" w:rsidRDefault="009E42DC" w:rsidP="00630523">
      <w:r>
        <w:t xml:space="preserve">Increasing the number of particles increases the opportunity for occlusion, so the ratio of particle area to sampled particle area </w:t>
      </w:r>
      <w:proofErr w:type="gramStart"/>
      <w:r w:rsidRPr="0098365B">
        <w:rPr>
          <w:i/>
        </w:rPr>
        <w:t>A</w:t>
      </w:r>
      <w:r w:rsidRPr="0098365B">
        <w:rPr>
          <w:i/>
          <w:vertAlign w:val="subscript"/>
        </w:rPr>
        <w:t>s</w:t>
      </w:r>
      <w:proofErr w:type="gramEnd"/>
      <w:r>
        <w:t>/</w:t>
      </w:r>
      <w:proofErr w:type="spellStart"/>
      <w:r w:rsidRPr="0098365B">
        <w:rPr>
          <w:i/>
        </w:rPr>
        <w:t>A</w:t>
      </w:r>
      <w:r w:rsidRPr="0098365B">
        <w:rPr>
          <w:i/>
          <w:vertAlign w:val="subscript"/>
        </w:rPr>
        <w:t>p</w:t>
      </w:r>
      <w:proofErr w:type="spellEnd"/>
      <w:r>
        <w:t xml:space="preserve"> increases </w:t>
      </w:r>
      <w:r w:rsidR="003A60F8">
        <w:t xml:space="preserve">with </w:t>
      </w:r>
      <w:r w:rsidR="00D82277">
        <w:t xml:space="preserve">smaller particle size </w:t>
      </w:r>
      <w:r w:rsidR="003A60F8">
        <w:t xml:space="preserve">or higher volume </w:t>
      </w:r>
      <w:proofErr w:type="spellStart"/>
      <w:r w:rsidR="003A60F8">
        <w:t>concetrations</w:t>
      </w:r>
      <w:proofErr w:type="spellEnd"/>
      <w:r w:rsidR="003A60F8">
        <w:t xml:space="preserve"> </w:t>
      </w:r>
      <w:r>
        <w:t xml:space="preserve">(Figure 2). In addition, </w:t>
      </w:r>
      <w:r w:rsidR="00D82277">
        <w:t xml:space="preserve">the amount of occlusion varies less between simulations, so fewer simulations are required to form a stable estimate of </w:t>
      </w:r>
      <w:r w:rsidR="00D82277" w:rsidRPr="0098365B">
        <w:rPr>
          <w:i/>
        </w:rPr>
        <w:t>A</w:t>
      </w:r>
      <w:r w:rsidR="00D82277" w:rsidRPr="0098365B">
        <w:rPr>
          <w:i/>
          <w:vertAlign w:val="subscript"/>
        </w:rPr>
        <w:t>s</w:t>
      </w:r>
      <w:r w:rsidR="00D82277">
        <w:t xml:space="preserve">. When particles are large, the </w:t>
      </w:r>
      <w:r w:rsidR="003A60F8">
        <w:t>suspension</w:t>
      </w:r>
      <w:r w:rsidR="00D82277">
        <w:t xml:space="preserve"> consists of on</w:t>
      </w:r>
      <w:r w:rsidR="003A60F8">
        <w:t>l</w:t>
      </w:r>
      <w:r w:rsidR="00D82277">
        <w:t xml:space="preserve">y a few </w:t>
      </w:r>
      <w:r w:rsidR="003A60F8">
        <w:t xml:space="preserve">particles, even at relatively large volume concentrations (Fig. 3), and occlusion is relatively rare. More simulations are required to characterize the average </w:t>
      </w:r>
      <w:r w:rsidR="003A60F8" w:rsidRPr="0098365B">
        <w:rPr>
          <w:i/>
        </w:rPr>
        <w:t>A</w:t>
      </w:r>
      <w:r w:rsidR="003A60F8" w:rsidRPr="0098365B">
        <w:rPr>
          <w:i/>
          <w:vertAlign w:val="subscript"/>
        </w:rPr>
        <w:t>s</w:t>
      </w:r>
      <w:r w:rsidR="003A60F8">
        <w:t>.</w:t>
      </w:r>
    </w:p>
    <w:tbl>
      <w:tblPr>
        <w:tblStyle w:val="TableGrid"/>
        <w:tblW w:w="0" w:type="auto"/>
        <w:tblLook w:val="04A0" w:firstRow="1" w:lastRow="0" w:firstColumn="1" w:lastColumn="0" w:noHBand="0" w:noVBand="1"/>
      </w:tblPr>
      <w:tblGrid>
        <w:gridCol w:w="9350"/>
      </w:tblGrid>
      <w:tr w:rsidR="00921EBA" w:rsidTr="00921EBA">
        <w:tc>
          <w:tcPr>
            <w:tcW w:w="9350" w:type="dxa"/>
          </w:tcPr>
          <w:p w:rsidR="00921EBA" w:rsidRDefault="00921EBA" w:rsidP="00630523">
            <w:r w:rsidRPr="00921EBA">
              <w:rPr>
                <w:noProof/>
              </w:rPr>
              <w:lastRenderedPageBreak/>
              <w:drawing>
                <wp:inline distT="0" distB="0" distL="0" distR="0" wp14:anchorId="1ED5EABD" wp14:editId="4D6DEC07">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tc>
      </w:tr>
      <w:tr w:rsidR="00921EBA" w:rsidTr="00921EBA">
        <w:tc>
          <w:tcPr>
            <w:tcW w:w="9350" w:type="dxa"/>
          </w:tcPr>
          <w:p w:rsidR="00921EBA" w:rsidRDefault="008E3662" w:rsidP="00630523">
            <w:r>
              <w:t xml:space="preserve">Figure 3. </w:t>
            </w:r>
            <w:r w:rsidR="00921EBA">
              <w:t xml:space="preserve">Four simulations with a sample area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6F6EEF">
              <w:t xml:space="preserve"> </w:t>
            </w:r>
            <w:r w:rsidR="00921EBA">
              <w:t>10</w:t>
            </w:r>
            <w:r w:rsidR="00921EBA" w:rsidRPr="0098365B">
              <w:rPr>
                <w:vertAlign w:val="superscript"/>
              </w:rPr>
              <w:t>6</w:t>
            </w:r>
            <w:r w:rsidR="00921EBA">
              <w:t xml:space="preserve"> </w:t>
            </w:r>
            <w:r w:rsidR="00921EBA" w:rsidRPr="0098365B">
              <w:rPr>
                <w:i/>
              </w:rPr>
              <w:t>µ</w:t>
            </w:r>
            <w:r w:rsidR="00921EBA">
              <w:t>m</w:t>
            </w:r>
            <w:r w:rsidR="00921EBA" w:rsidRPr="0098365B">
              <w:rPr>
                <w:vertAlign w:val="superscript"/>
              </w:rPr>
              <w:t>2</w:t>
            </w:r>
            <w:r w:rsidR="00921EBA">
              <w:t xml:space="preserve"> with </w:t>
            </w:r>
            <w:proofErr w:type="spellStart"/>
            <w:r w:rsidR="00921EBA" w:rsidRPr="0098365B">
              <w:rPr>
                <w:i/>
              </w:rPr>
              <w:t>V</w:t>
            </w:r>
            <w:r w:rsidR="00921EBA" w:rsidRPr="0098365B">
              <w:rPr>
                <w:i/>
                <w:vertAlign w:val="subscript"/>
              </w:rPr>
              <w:t>c</w:t>
            </w:r>
            <w:proofErr w:type="spellEnd"/>
            <w:r w:rsidR="00921EBA">
              <w:t xml:space="preserve"> = 0.01 and </w:t>
            </w:r>
            <w:r w:rsidR="00921EBA" w:rsidRPr="0098365B">
              <w:rPr>
                <w:i/>
              </w:rPr>
              <w:t>r</w:t>
            </w:r>
            <w:r w:rsidR="00921EBA">
              <w:t xml:space="preserve"> = 100 </w:t>
            </w:r>
            <w:r w:rsidR="00921EBA" w:rsidRPr="0098365B">
              <w:rPr>
                <w:i/>
              </w:rPr>
              <w:t>µ</w:t>
            </w:r>
            <w:r w:rsidR="00921EBA">
              <w:t xml:space="preserve">m. Because of their large volume, only two particles are required to fill the volume concentration. None of these four simulations produced occluding particles, so </w:t>
            </w:r>
            <w:proofErr w:type="gramStart"/>
            <w:r w:rsidR="00921EBA" w:rsidRPr="0098365B">
              <w:rPr>
                <w:i/>
              </w:rPr>
              <w:t>A</w:t>
            </w:r>
            <w:r w:rsidR="00921EBA" w:rsidRPr="0098365B">
              <w:rPr>
                <w:i/>
                <w:vertAlign w:val="subscript"/>
              </w:rPr>
              <w:t>s</w:t>
            </w:r>
            <w:proofErr w:type="gramEnd"/>
            <w:r w:rsidR="00921EBA">
              <w:t>/</w:t>
            </w:r>
            <w:proofErr w:type="spellStart"/>
            <w:r w:rsidR="00921EBA" w:rsidRPr="0098365B">
              <w:rPr>
                <w:i/>
              </w:rPr>
              <w:t>A</w:t>
            </w:r>
            <w:r w:rsidR="00921EBA" w:rsidRPr="0098365B">
              <w:rPr>
                <w:i/>
                <w:vertAlign w:val="subscript"/>
              </w:rPr>
              <w:t>p</w:t>
            </w:r>
            <w:proofErr w:type="spellEnd"/>
            <w:r w:rsidR="00921EBA">
              <w:t xml:space="preserve"> was always 1.</w:t>
            </w:r>
          </w:p>
        </w:tc>
      </w:tr>
    </w:tbl>
    <w:p w:rsidR="00921EBA" w:rsidRDefault="00921EBA" w:rsidP="00630523"/>
    <w:tbl>
      <w:tblPr>
        <w:tblStyle w:val="TableGrid"/>
        <w:tblW w:w="0" w:type="auto"/>
        <w:tblLook w:val="04A0" w:firstRow="1" w:lastRow="0" w:firstColumn="1" w:lastColumn="0" w:noHBand="0" w:noVBand="1"/>
      </w:tblPr>
      <w:tblGrid>
        <w:gridCol w:w="9350"/>
      </w:tblGrid>
      <w:tr w:rsidR="00943A95" w:rsidTr="00943A95">
        <w:tc>
          <w:tcPr>
            <w:tcW w:w="9350" w:type="dxa"/>
          </w:tcPr>
          <w:p w:rsidR="00943A95" w:rsidRDefault="00943A95" w:rsidP="00630523">
            <w:r w:rsidRPr="00943A95">
              <w:rPr>
                <w:noProof/>
              </w:rPr>
              <w:lastRenderedPageBreak/>
              <w:drawing>
                <wp:inline distT="0" distB="0" distL="0" distR="0">
                  <wp:extent cx="5934075" cy="508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p>
        </w:tc>
      </w:tr>
      <w:tr w:rsidR="00943A95" w:rsidTr="00943A95">
        <w:tc>
          <w:tcPr>
            <w:tcW w:w="9350" w:type="dxa"/>
          </w:tcPr>
          <w:p w:rsidR="00943A95" w:rsidRDefault="008E3662" w:rsidP="00630523">
            <w:r>
              <w:t xml:space="preserve">Figure 4. </w:t>
            </w:r>
            <w:r w:rsidR="00943A95">
              <w:t xml:space="preserve">Plot showing the convergence of the mean and standard deviation of </w:t>
            </w:r>
            <w:proofErr w:type="gramStart"/>
            <w:r w:rsidR="00943A95" w:rsidRPr="00943A95">
              <w:rPr>
                <w:i/>
              </w:rPr>
              <w:t>A</w:t>
            </w:r>
            <w:r w:rsidR="00943A95" w:rsidRPr="00943A95">
              <w:rPr>
                <w:i/>
                <w:vertAlign w:val="subscript"/>
              </w:rPr>
              <w:t>s</w:t>
            </w:r>
            <w:proofErr w:type="gramEnd"/>
            <w:r w:rsidR="00943A95">
              <w:t xml:space="preserve"> </w:t>
            </w:r>
            <w:proofErr w:type="spellStart"/>
            <w:r w:rsidR="00943A95">
              <w:t>as</w:t>
            </w:r>
            <w:proofErr w:type="spellEnd"/>
            <w:r w:rsidR="00943A95">
              <w:t xml:space="preserve"> the number of iterations increases. Convergence occurs more quickly with more particles.</w:t>
            </w:r>
          </w:p>
        </w:tc>
      </w:tr>
    </w:tbl>
    <w:p w:rsidR="008F37AD" w:rsidRDefault="008F37AD" w:rsidP="00630523"/>
    <w:p w:rsidR="003A60F8" w:rsidRDefault="003A60F8" w:rsidP="00630523">
      <w:r>
        <w:t xml:space="preserve">Trial and error showed that estimates of </w:t>
      </w:r>
      <w:proofErr w:type="gramStart"/>
      <w:r w:rsidRPr="003A60F8">
        <w:rPr>
          <w:i/>
        </w:rPr>
        <w:t>A</w:t>
      </w:r>
      <w:r w:rsidRPr="003A60F8">
        <w:rPr>
          <w:i/>
          <w:vertAlign w:val="subscript"/>
        </w:rPr>
        <w:t>s</w:t>
      </w:r>
      <w:proofErr w:type="gramEnd"/>
      <w:r>
        <w:t xml:space="preserve"> converged after 100 simulations. Fig. 4 shows the normalized mean (top panel) and normalized standard deviation (bottom panel), as a function of the number of iterations for a case with relatively large particles and low concentrations. This plot suggests that the </w:t>
      </w:r>
      <w:r w:rsidR="00F34054">
        <w:t xml:space="preserve">mean and standard deviation of </w:t>
      </w:r>
      <w:proofErr w:type="gramStart"/>
      <w:r w:rsidR="00F34054" w:rsidRPr="00F34054">
        <w:rPr>
          <w:i/>
        </w:rPr>
        <w:t>A</w:t>
      </w:r>
      <w:r w:rsidR="00F34054" w:rsidRPr="00F34054">
        <w:t>s</w:t>
      </w:r>
      <w:proofErr w:type="gramEnd"/>
      <w:r w:rsidR="00F34054">
        <w:t xml:space="preserve"> change by less than 1% beyond 100 simulations.</w:t>
      </w:r>
    </w:p>
    <w:tbl>
      <w:tblPr>
        <w:tblStyle w:val="TableGrid"/>
        <w:tblW w:w="0" w:type="auto"/>
        <w:tblLook w:val="04A0" w:firstRow="1" w:lastRow="0" w:firstColumn="1" w:lastColumn="0" w:noHBand="0" w:noVBand="1"/>
      </w:tblPr>
      <w:tblGrid>
        <w:gridCol w:w="9350"/>
      </w:tblGrid>
      <w:tr w:rsidR="00A813AC" w:rsidTr="00A813AC">
        <w:tc>
          <w:tcPr>
            <w:tcW w:w="9350" w:type="dxa"/>
          </w:tcPr>
          <w:p w:rsidR="00A813AC" w:rsidRDefault="00F3790E" w:rsidP="00937D62">
            <w:pPr>
              <w:jc w:val="center"/>
            </w:pPr>
            <w:r w:rsidRPr="00F3790E">
              <w:rPr>
                <w:noProof/>
              </w:rPr>
              <w:lastRenderedPageBreak/>
              <w:drawing>
                <wp:inline distT="0" distB="0" distL="0" distR="0">
                  <wp:extent cx="4515595" cy="547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7259" cy="5478893"/>
                          </a:xfrm>
                          <a:prstGeom prst="rect">
                            <a:avLst/>
                          </a:prstGeom>
                          <a:noFill/>
                          <a:ln>
                            <a:noFill/>
                          </a:ln>
                        </pic:spPr>
                      </pic:pic>
                    </a:graphicData>
                  </a:graphic>
                </wp:inline>
              </w:drawing>
            </w:r>
          </w:p>
        </w:tc>
      </w:tr>
      <w:tr w:rsidR="00A813AC" w:rsidTr="00A813AC">
        <w:tc>
          <w:tcPr>
            <w:tcW w:w="9350" w:type="dxa"/>
          </w:tcPr>
          <w:p w:rsidR="00A813AC" w:rsidRDefault="008E3662" w:rsidP="00630523">
            <w:r>
              <w:t xml:space="preserve">Figure 5. </w:t>
            </w:r>
            <w:r w:rsidR="00F3790E">
              <w:t xml:space="preserve">Simulated particle areas for a range of volume concentrations </w:t>
            </w:r>
            <w:proofErr w:type="spellStart"/>
            <w:r w:rsidR="00F3790E" w:rsidRPr="00F3790E">
              <w:rPr>
                <w:i/>
              </w:rPr>
              <w:t>V</w:t>
            </w:r>
            <w:r w:rsidR="00F3790E" w:rsidRPr="00F3790E">
              <w:rPr>
                <w:i/>
                <w:vertAlign w:val="subscript"/>
              </w:rPr>
              <w:t>c</w:t>
            </w:r>
            <w:proofErr w:type="spellEnd"/>
            <w:r w:rsidR="00F3790E">
              <w:t xml:space="preserve"> (0.001 to 0.1) and four grain radii. Top panel: Particle areas </w:t>
            </w:r>
            <w:proofErr w:type="spellStart"/>
            <w:r w:rsidR="00F3790E" w:rsidRPr="00F3790E">
              <w:rPr>
                <w:i/>
              </w:rPr>
              <w:t>A</w:t>
            </w:r>
            <w:r w:rsidR="00F3790E" w:rsidRPr="00F3790E">
              <w:rPr>
                <w:i/>
                <w:vertAlign w:val="subscript"/>
              </w:rPr>
              <w:t>p</w:t>
            </w:r>
            <w:proofErr w:type="spellEnd"/>
            <w:r w:rsidR="00F3790E">
              <w:t xml:space="preserve"> </w:t>
            </w:r>
            <w:r w:rsidR="006F6EEF">
              <w:t xml:space="preserve">(dashed) </w:t>
            </w:r>
            <w:r w:rsidR="00F3790E">
              <w:t xml:space="preserve">and sampled particle areas </w:t>
            </w:r>
            <w:proofErr w:type="gramStart"/>
            <w:r w:rsidR="00F3790E" w:rsidRPr="00F3790E">
              <w:rPr>
                <w:i/>
              </w:rPr>
              <w:t>A</w:t>
            </w:r>
            <w:r w:rsidR="00F3790E" w:rsidRPr="00F3790E">
              <w:rPr>
                <w:i/>
                <w:vertAlign w:val="subscript"/>
              </w:rPr>
              <w:t>s</w:t>
            </w:r>
            <w:proofErr w:type="gramEnd"/>
            <w:r w:rsidR="00F3790E">
              <w:t xml:space="preserve"> </w:t>
            </w:r>
            <w:r w:rsidR="006F6EEF">
              <w:t xml:space="preserve">(solid) </w:t>
            </w:r>
            <w:r w:rsidR="00F3790E">
              <w:t>after accounting for occlusion. The total sample area was 1 mm</w:t>
            </w:r>
            <w:r w:rsidR="00F3790E" w:rsidRPr="00F3790E">
              <w:rPr>
                <w:vertAlign w:val="superscript"/>
              </w:rPr>
              <w:t>2</w:t>
            </w:r>
            <w:r w:rsidR="005F6E86">
              <w:t xml:space="preserve"> (dashed line)</w:t>
            </w:r>
            <w:r w:rsidR="00F3790E">
              <w:t xml:space="preserve">, so </w:t>
            </w:r>
            <w:proofErr w:type="gramStart"/>
            <w:r w:rsidR="00F3790E" w:rsidRPr="00F3790E">
              <w:rPr>
                <w:i/>
              </w:rPr>
              <w:t>A</w:t>
            </w:r>
            <w:r w:rsidR="006F6EEF">
              <w:rPr>
                <w:i/>
                <w:vertAlign w:val="subscript"/>
              </w:rPr>
              <w:t>s</w:t>
            </w:r>
            <w:proofErr w:type="gramEnd"/>
            <w:r w:rsidR="00F3790E">
              <w:t xml:space="preserve"> saturates as it approaches this value. Bottom panel: ratio </w:t>
            </w:r>
            <w:proofErr w:type="gramStart"/>
            <w:r w:rsidR="00F3790E" w:rsidRPr="00F3790E">
              <w:rPr>
                <w:i/>
              </w:rPr>
              <w:t>A</w:t>
            </w:r>
            <w:r w:rsidR="00F3790E" w:rsidRPr="00F3790E">
              <w:rPr>
                <w:i/>
                <w:vertAlign w:val="subscript"/>
              </w:rPr>
              <w:t>s</w:t>
            </w:r>
            <w:proofErr w:type="gramEnd"/>
            <w:r w:rsidR="00F3790E">
              <w:t>/</w:t>
            </w:r>
            <w:proofErr w:type="spellStart"/>
            <w:r w:rsidR="00F3790E" w:rsidRPr="00F3790E">
              <w:rPr>
                <w:i/>
              </w:rPr>
              <w:t>A</w:t>
            </w:r>
            <w:r w:rsidR="00F3790E" w:rsidRPr="00F3790E">
              <w:rPr>
                <w:i/>
                <w:vertAlign w:val="subscript"/>
              </w:rPr>
              <w:t>p</w:t>
            </w:r>
            <w:proofErr w:type="spellEnd"/>
            <w:r w:rsidR="00F3790E">
              <w:t>, which can be interpreted as the decrease in the amplitude of the backscatter signal caused by occlusion.</w:t>
            </w:r>
          </w:p>
        </w:tc>
      </w:tr>
    </w:tbl>
    <w:p w:rsidR="00A813AC" w:rsidRPr="006E138E" w:rsidRDefault="00A813AC" w:rsidP="00630523"/>
    <w:p w:rsidR="00477FDE" w:rsidRDefault="00F34054" w:rsidP="00630523">
      <w:r>
        <w:t xml:space="preserve">Results from a range of particle sizes </w:t>
      </w:r>
      <w:r w:rsidR="00937D62">
        <w:t xml:space="preserve">(12 to 100 </w:t>
      </w:r>
      <w:r w:rsidR="006F6EEF" w:rsidRPr="006F6EEF">
        <w:rPr>
          <w:i/>
        </w:rPr>
        <w:t>µ</w:t>
      </w:r>
      <w:r w:rsidR="006F6EEF">
        <w:t>m</w:t>
      </w:r>
      <w:r w:rsidR="00937D62">
        <w:t xml:space="preserve">) </w:t>
      </w:r>
      <w:r>
        <w:t xml:space="preserve">and range of volume concentrations </w:t>
      </w:r>
      <w:r w:rsidR="00937D62">
        <w:t>(0.001 to 0.1; Fig.</w:t>
      </w:r>
      <w:r>
        <w:t xml:space="preserve"> 5) show that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t xml:space="preserve"> rises rapidly for small particles </w:t>
      </w:r>
      <w:r w:rsidR="00DE2ABE">
        <w:t xml:space="preserve">as concentrations increase.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rsidR="00DE2ABE">
        <w:t xml:space="preserve"> increases linearly as with volume concentration, at rates inversely </w:t>
      </w:r>
      <w:r w:rsidR="00937D62">
        <w:t>proportional</w:t>
      </w:r>
      <w:r w:rsidR="00DE2ABE">
        <w:t xml:space="preserve"> to size. At very low concentrations,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CA3D67">
        <w:t xml:space="preserve"> </w:t>
      </w:r>
      <w:r w:rsidR="00DE2ABE">
        <w:t xml:space="preserve">tracks </w:t>
      </w:r>
      <w:proofErr w:type="spellStart"/>
      <w:r w:rsidR="00146984" w:rsidRPr="00F3790E">
        <w:rPr>
          <w:i/>
        </w:rPr>
        <w:t>A</w:t>
      </w:r>
      <w:r w:rsidR="00146984" w:rsidRPr="00F3790E">
        <w:rPr>
          <w:i/>
          <w:vertAlign w:val="subscript"/>
        </w:rPr>
        <w:t>p</w:t>
      </w:r>
      <w:proofErr w:type="spellEnd"/>
      <w:r w:rsidR="00DE2ABE">
        <w:t xml:space="preserve">, but </w:t>
      </w:r>
      <w:r w:rsidR="00937D62">
        <w:t>as</w:t>
      </w:r>
      <w:r w:rsidR="00DE2ABE">
        <w:t xml:space="preserve"> concentrations rise, increasing occlusion causes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DE2ABE">
        <w:t xml:space="preserve"> to lag </w:t>
      </w:r>
      <w:r w:rsidR="00232CCB" w:rsidRPr="00F3790E">
        <w:rPr>
          <w:i/>
        </w:rPr>
        <w:t>A</w:t>
      </w:r>
      <w:r w:rsidR="00232CCB" w:rsidRPr="00F3790E">
        <w:rPr>
          <w:i/>
          <w:vertAlign w:val="subscript"/>
        </w:rPr>
        <w:t>p</w:t>
      </w:r>
      <w:r w:rsidR="00DE2ABE">
        <w:t>. This occurs at lower concentrations for smaller particles. At yet higher concentrations, particle areas for the 12-</w:t>
      </w:r>
      <w:r w:rsidR="00CA3D67" w:rsidRPr="00CA3D67">
        <w:rPr>
          <w:i/>
        </w:rPr>
        <w:t>µ</w:t>
      </w:r>
      <w:r w:rsidR="00CA3D67">
        <w:t>m</w:t>
      </w:r>
      <w:r w:rsidR="00DE2ABE">
        <w:t xml:space="preserve"> particles approach the total sample area. To the extent that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DE2ABE">
        <w:t xml:space="preserve"> represents the </w:t>
      </w:r>
      <w:r w:rsidR="00DE2ABE">
        <w:lastRenderedPageBreak/>
        <w:t xml:space="preserve">potential backscatter signal, this represents saturation.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DE2ABE">
        <w:t xml:space="preserve"> </w:t>
      </w:r>
      <w:r w:rsidR="00CA3D67">
        <w:t xml:space="preserve">values </w:t>
      </w:r>
      <w:r w:rsidR="00DE2ABE">
        <w:t xml:space="preserve">for larger particles (50 and 100 </w:t>
      </w:r>
      <w:r w:rsidR="00CA3D67" w:rsidRPr="00CA3D67">
        <w:rPr>
          <w:i/>
        </w:rPr>
        <w:t>µ</w:t>
      </w:r>
      <w:r w:rsidR="00CA3D67">
        <w:t>m</w:t>
      </w:r>
      <w:r w:rsidR="00DE2ABE">
        <w:t xml:space="preserve">) do not approach saturation but, as the </w:t>
      </w:r>
      <w:r w:rsidR="00937D62">
        <w:t xml:space="preserve">ratio </w:t>
      </w:r>
      <w:r w:rsidR="00937D62" w:rsidRPr="00F3790E">
        <w:rPr>
          <w:i/>
        </w:rPr>
        <w:t>A</w:t>
      </w:r>
      <w:r w:rsidR="00937D62" w:rsidRPr="00F3790E">
        <w:rPr>
          <w:i/>
          <w:vertAlign w:val="subscript"/>
        </w:rPr>
        <w:t>s</w:t>
      </w:r>
      <w:r w:rsidR="00937D62">
        <w:t>/</w:t>
      </w:r>
      <w:proofErr w:type="spellStart"/>
      <w:r w:rsidR="00937D62" w:rsidRPr="00F3790E">
        <w:rPr>
          <w:i/>
        </w:rPr>
        <w:t>A</w:t>
      </w:r>
      <w:r w:rsidR="00937D62" w:rsidRPr="00F3790E">
        <w:rPr>
          <w:i/>
          <w:vertAlign w:val="subscript"/>
        </w:rPr>
        <w:t>p</w:t>
      </w:r>
      <w:proofErr w:type="spellEnd"/>
      <w:r w:rsidR="00937D62">
        <w:t xml:space="preserve"> shows</w:t>
      </w:r>
      <w:r w:rsidR="00CA3D67">
        <w:t xml:space="preserve">, the potential backscatter signal is decreased to about 75% at </w:t>
      </w:r>
      <w:proofErr w:type="spellStart"/>
      <w:r w:rsidR="00CA3D67" w:rsidRPr="00F3790E">
        <w:rPr>
          <w:i/>
        </w:rPr>
        <w:t>V</w:t>
      </w:r>
      <w:r w:rsidR="00CA3D67" w:rsidRPr="00F3790E">
        <w:rPr>
          <w:i/>
          <w:vertAlign w:val="subscript"/>
        </w:rPr>
        <w:t>c</w:t>
      </w:r>
      <w:proofErr w:type="spellEnd"/>
      <w:r w:rsidR="00CA3D67">
        <w:t xml:space="preserve"> =0.1 for 100-</w:t>
      </w:r>
      <w:r w:rsidR="00CA3D67" w:rsidRPr="00CA3D67">
        <w:rPr>
          <w:i/>
        </w:rPr>
        <w:t>µ</w:t>
      </w:r>
      <w:r w:rsidR="00CA3D67">
        <w:t>m particles, and to about half for 50-</w:t>
      </w:r>
      <w:r w:rsidR="00CA3D67" w:rsidRPr="00CA3D67">
        <w:rPr>
          <w:i/>
        </w:rPr>
        <w:t>µ</w:t>
      </w:r>
      <w:r w:rsidR="00CA3D67">
        <w:t>m particles</w:t>
      </w:r>
      <w:r w:rsidR="00937D62">
        <w:t xml:space="preserve"> (lower panel, Fig. 5)</w:t>
      </w:r>
      <w:r w:rsidR="00CA3D67">
        <w:t>.</w:t>
      </w:r>
    </w:p>
    <w:p w:rsidR="00937D62" w:rsidRDefault="00937D62" w:rsidP="00630523"/>
    <w:p w:rsidR="00FD5883" w:rsidRDefault="00937D62" w:rsidP="00630523">
      <w:r>
        <w:t>The tr</w:t>
      </w:r>
      <w:r w:rsidR="00FB15AE">
        <w:t xml:space="preserve">ansmissivity </w:t>
      </w:r>
      <m:oMath>
        <m:r>
          <w:rPr>
            <w:rFonts w:ascii="Cambria Math" w:hAnsi="Cambria Math"/>
          </w:rPr>
          <m:t>T</m:t>
        </m:r>
      </m:oMath>
      <w:r w:rsidR="00FB15AE">
        <w:t xml:space="preserve"> can be estimated as</w:t>
      </w:r>
      <w:r>
        <w:t xml:space="preserve"> the fraction of </w:t>
      </w:r>
      <w:r w:rsidR="00FB15AE">
        <w:t>total measurement</w:t>
      </w:r>
      <w:r>
        <w:t xml:space="preserve"> area not occluded by any particles, equal to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sidR="00146984">
        <w:t xml:space="preserve"> </w:t>
      </w:r>
      <w:r w:rsidR="00FB15AE">
        <w:t xml:space="preserve">where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95614B">
        <w:t xml:space="preserve"> </w:t>
      </w:r>
      <w:r w:rsidR="00FB15AE">
        <w:t>is the total measurement</w:t>
      </w:r>
      <w:r>
        <w:t xml:space="preserve"> area</w:t>
      </w:r>
      <w:r w:rsidR="00FB15AE">
        <w:t xml:space="preserve"> and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FB15AE">
        <w:t xml:space="preserve"> is the </w:t>
      </w:r>
      <w:r w:rsidR="0095614B">
        <w:t>measurement volume</w:t>
      </w:r>
      <w:r w:rsidR="00FB15AE">
        <w:t>.</w:t>
      </w:r>
      <w:r>
        <w:t xml:space="preserve"> In the simulations, the </w:t>
      </w:r>
      <w:r w:rsidR="00FB15AE">
        <w:t>measurement area</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FB15AE">
        <w:t xml:space="preserve"> = </w:t>
      </w:r>
      <w:r w:rsidR="00FD5883">
        <w:t>1 mm</w:t>
      </w:r>
      <w:r w:rsidR="00FD5883" w:rsidRPr="00FB15AE">
        <w:rPr>
          <w:vertAlign w:val="superscript"/>
        </w:rPr>
        <w:t>2</w:t>
      </w:r>
      <w:r w:rsidR="00FD5883">
        <w:t>, and if we envision a sample volume of 1 mm</w:t>
      </w:r>
      <w:r w:rsidR="00FD5883" w:rsidRPr="00FB15AE">
        <w:rPr>
          <w:vertAlign w:val="superscript"/>
        </w:rPr>
        <w:t>3</w:t>
      </w:r>
      <w:r w:rsidR="00FD5883">
        <w:t xml:space="preserve">, </w:t>
      </w:r>
      <w:r w:rsidR="00FB15AE">
        <w:t xml:space="preserve">the pathlength </w:t>
      </w:r>
      <w:r w:rsidR="00912E56" w:rsidRPr="00912E56">
        <w:rPr>
          <w:i/>
        </w:rPr>
        <w:t>l</w:t>
      </w:r>
      <w:r w:rsidR="00912E56">
        <w:t xml:space="preserve"> </w:t>
      </w:r>
      <w:r w:rsidR="00FB15AE">
        <w:t>is 1 mm. Transmissivity</w:t>
      </w:r>
      <w:r w:rsidR="00FD5883">
        <w:t xml:space="preserve"> </w:t>
      </w:r>
      <w:r w:rsidR="00FB15AE">
        <w:t xml:space="preserve">(Fig. 6, top panel) </w:t>
      </w:r>
      <w:r w:rsidR="00FD5883">
        <w:t>drops rapidly with concentration for the finest particles, and less rapidly for the coarser particles.</w:t>
      </w:r>
    </w:p>
    <w:p w:rsidR="00FD5883" w:rsidRDefault="00FD5883" w:rsidP="00630523"/>
    <w:p w:rsidR="00937D62" w:rsidRDefault="00FD5883" w:rsidP="00630523">
      <w:r>
        <w:t xml:space="preserve">Finally, we can combine the </w:t>
      </w:r>
      <w:r w:rsidR="00CA3D67">
        <w:t xml:space="preserve">potential </w:t>
      </w:r>
      <w:r>
        <w:t>backscatter signal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t xml:space="preserve">) with the transmissivity to calculate </w:t>
      </w:r>
      <w:r w:rsidR="00FB15AE">
        <w:t xml:space="preserve">the relative response </w:t>
      </w:r>
      <w:r w:rsidR="0095614B" w:rsidRPr="0095614B">
        <w:rPr>
          <w:i/>
        </w:rPr>
        <w:t>R</w:t>
      </w:r>
      <w:r w:rsidR="0095614B">
        <w:t xml:space="preserve"> </w:t>
      </w:r>
      <w:r w:rsidR="00FB15AE">
        <w:t>of a backscatter sensor sa</w:t>
      </w:r>
      <w:r w:rsidR="0095614B">
        <w:t>mpling a water volume of 1 mm</w:t>
      </w:r>
      <w:r w:rsidR="0095614B" w:rsidRPr="0095614B">
        <w:rPr>
          <w:vertAlign w:val="superscript"/>
        </w:rPr>
        <w:t>3</w:t>
      </w:r>
      <w:r w:rsidR="0095614B">
        <w:t xml:space="preserve"> as </w:t>
      </w:r>
      <m:oMath>
        <m:r>
          <w:rPr>
            <w:rFonts w:ascii="Cambria Math" w:hAnsi="Cambria Math"/>
          </w:rPr>
          <m:t>R=T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oMath>
      <w:r w:rsidR="00912E56">
        <w:t>, which has units of mm</w:t>
      </w:r>
      <w:r w:rsidR="00912E56" w:rsidRPr="00912E56">
        <w:rPr>
          <w:vertAlign w:val="superscript"/>
        </w:rPr>
        <w:t>2</w:t>
      </w:r>
      <w:r w:rsidR="00912E56">
        <w:t xml:space="preserve">. This response is the relative signal associated with the sampled particle area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912E56">
        <w:t xml:space="preserve"> tempered by the loss of signal associated with transmissivity </w:t>
      </w:r>
      <w:r w:rsidR="00912E56" w:rsidRPr="00CB67FE">
        <w:rPr>
          <w:i/>
        </w:rPr>
        <w:t>T</w:t>
      </w:r>
      <w:r w:rsidR="00912E56">
        <w:t xml:space="preserve"> over a pathlength </w:t>
      </w:r>
      <w:r w:rsidR="00912E56" w:rsidRPr="00CB67FE">
        <w:rPr>
          <w:i/>
        </w:rPr>
        <w:t>l</w:t>
      </w:r>
      <w:r w:rsidR="00912E56">
        <w:t>. The responses</w:t>
      </w:r>
      <w:r w:rsidR="00CB67FE">
        <w:t xml:space="preserve"> for fine particles are classic (Fig. 6, bottom panel). At low concentrations, the backscatter response to increasing concentrations is linear, but as concentrations increase, the response is attenuated by increasing turbidity. Eventually, the potential backscatter response is saturated at </w:t>
      </w:r>
      <w:r w:rsidR="00146984">
        <w:t xml:space="preserve">particle area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146984">
        <w:t xml:space="preserve"> </w:t>
      </w:r>
      <w:r w:rsidR="00CB67FE">
        <w:t xml:space="preserve">approaches </w:t>
      </w:r>
      <w:r w:rsidR="00146984">
        <w:t xml:space="preserve">total measurement area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CB67FE">
        <w:t xml:space="preserve">. As concentrations continue to increase, the signal is increasingly attenuated as transmissivity declines. All of this happens later, at higher concentrations, as particle size increases. These plots look exactly like the OBS laboratory calibration curves for fluid muds (e.g., </w:t>
      </w:r>
      <w:proofErr w:type="spellStart"/>
      <w:r w:rsidR="00CB67FE">
        <w:t>Kineke</w:t>
      </w:r>
      <w:proofErr w:type="spellEnd"/>
      <w:r w:rsidR="00146984">
        <w:t xml:space="preserve"> &amp; Sternberg, 1992).</w:t>
      </w:r>
    </w:p>
    <w:p w:rsidR="00146984" w:rsidRDefault="00146984" w:rsidP="00630523"/>
    <w:p w:rsidR="00146984" w:rsidRDefault="00146984" w:rsidP="00146984">
      <w:pPr>
        <w:pStyle w:val="Heading2"/>
      </w:pPr>
      <w:r>
        <w:t>Conclusion</w:t>
      </w:r>
    </w:p>
    <w:p w:rsidR="00146984" w:rsidRPr="00912E56" w:rsidRDefault="00146984" w:rsidP="00630523">
      <w:r>
        <w:t xml:space="preserve">A complete forward model would combine the optical parameter </w:t>
      </w:r>
      <m:oMath>
        <m:r>
          <w:rPr>
            <w:rFonts w:ascii="Cambria Math" w:hAnsi="Cambria Math"/>
          </w:rPr>
          <m:t>α</m:t>
        </m:r>
      </m:oMath>
      <w:r>
        <w:t xml:space="preserve"> with </w:t>
      </w:r>
      <w:r w:rsidRPr="00146984">
        <w:rPr>
          <w:i/>
        </w:rPr>
        <w:t>R</w:t>
      </w:r>
      <w:r>
        <w:t xml:space="preserve">. The only inconsistency is that this has all been based on area, but the optical parameters are volume-specific. Thoughts? </w:t>
      </w:r>
    </w:p>
    <w:p w:rsidR="00DE7DA2" w:rsidRPr="00477FDE" w:rsidRDefault="00DE7DA2" w:rsidP="00630523"/>
    <w:p w:rsidR="00477FDE" w:rsidRPr="00477FDE" w:rsidRDefault="00477FDE" w:rsidP="00630523"/>
    <w:tbl>
      <w:tblPr>
        <w:tblStyle w:val="TableGrid"/>
        <w:tblW w:w="0" w:type="auto"/>
        <w:tblLook w:val="04A0" w:firstRow="1" w:lastRow="0" w:firstColumn="1" w:lastColumn="0" w:noHBand="0" w:noVBand="1"/>
      </w:tblPr>
      <w:tblGrid>
        <w:gridCol w:w="9350"/>
      </w:tblGrid>
      <w:tr w:rsidR="005D0A6D" w:rsidTr="005D0A6D">
        <w:tc>
          <w:tcPr>
            <w:tcW w:w="9350" w:type="dxa"/>
          </w:tcPr>
          <w:p w:rsidR="005D0A6D" w:rsidRDefault="00754904" w:rsidP="00937D62">
            <w:pPr>
              <w:jc w:val="center"/>
            </w:pPr>
            <w:r w:rsidRPr="00754904">
              <w:rPr>
                <w:noProof/>
              </w:rPr>
              <w:lastRenderedPageBreak/>
              <w:drawing>
                <wp:inline distT="0" distB="0" distL="0" distR="0">
                  <wp:extent cx="3800475" cy="4559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463" cy="4568797"/>
                          </a:xfrm>
                          <a:prstGeom prst="rect">
                            <a:avLst/>
                          </a:prstGeom>
                          <a:noFill/>
                          <a:ln>
                            <a:noFill/>
                          </a:ln>
                        </pic:spPr>
                      </pic:pic>
                    </a:graphicData>
                  </a:graphic>
                </wp:inline>
              </w:drawing>
            </w:r>
          </w:p>
        </w:tc>
      </w:tr>
      <w:tr w:rsidR="005D0A6D" w:rsidTr="005D0A6D">
        <w:tc>
          <w:tcPr>
            <w:tcW w:w="9350" w:type="dxa"/>
          </w:tcPr>
          <w:p w:rsidR="005D0A6D" w:rsidRDefault="008E3662" w:rsidP="00630523">
            <w:r>
              <w:t xml:space="preserve">Figure 6. </w:t>
            </w:r>
            <w:r w:rsidR="00754904">
              <w:t xml:space="preserve">Top panel: Transmissivity </w:t>
            </w:r>
            <w:r w:rsidR="00CB67FE" w:rsidRPr="00CB67FE">
              <w:rPr>
                <w:i/>
              </w:rPr>
              <w:t>T</w:t>
            </w:r>
            <w:r w:rsidR="00CB67FE">
              <w:t xml:space="preserve"> </w:t>
            </w:r>
            <w:r w:rsidR="00754904">
              <w:t xml:space="preserve">(1/mm), calculated as the non-occluded sample area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sidR="00754904">
              <w:t xml:space="preserve">. Bottom panel: Simulated backscatter response, calculated as </w:t>
            </w:r>
            <w:r w:rsidR="00CB67FE" w:rsidRPr="00CB67FE">
              <w:rPr>
                <w:i/>
              </w:rPr>
              <w:t>T</w:t>
            </w:r>
            <w:r w:rsidR="00754904" w:rsidRPr="00754904">
              <w:rPr>
                <w:i/>
              </w:rPr>
              <w:t>A</w:t>
            </w:r>
            <w:r w:rsidR="00754904" w:rsidRPr="00754904">
              <w:rPr>
                <w:i/>
                <w:vertAlign w:val="subscript"/>
              </w:rPr>
              <w:t>s</w:t>
            </w:r>
            <w:r w:rsidR="00754904">
              <w:t xml:space="preserve"> (mm)</w:t>
            </w:r>
          </w:p>
        </w:tc>
      </w:tr>
    </w:tbl>
    <w:p w:rsidR="00477FDE" w:rsidRDefault="00477FDE" w:rsidP="00630523"/>
    <w:sectPr w:rsidR="0047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23"/>
    <w:rsid w:val="0000625C"/>
    <w:rsid w:val="00146984"/>
    <w:rsid w:val="00232CCB"/>
    <w:rsid w:val="0028195D"/>
    <w:rsid w:val="0030375A"/>
    <w:rsid w:val="003654AC"/>
    <w:rsid w:val="003A60F8"/>
    <w:rsid w:val="00477FDE"/>
    <w:rsid w:val="005D0A6D"/>
    <w:rsid w:val="005F6E86"/>
    <w:rsid w:val="00630523"/>
    <w:rsid w:val="006C79E5"/>
    <w:rsid w:val="006E138E"/>
    <w:rsid w:val="006F6EEF"/>
    <w:rsid w:val="00754904"/>
    <w:rsid w:val="007F5545"/>
    <w:rsid w:val="008E3662"/>
    <w:rsid w:val="008F37AD"/>
    <w:rsid w:val="00912E56"/>
    <w:rsid w:val="00921EBA"/>
    <w:rsid w:val="00937D62"/>
    <w:rsid w:val="00943A95"/>
    <w:rsid w:val="0095614B"/>
    <w:rsid w:val="0098365B"/>
    <w:rsid w:val="009E42DC"/>
    <w:rsid w:val="009F3F50"/>
    <w:rsid w:val="00A2550D"/>
    <w:rsid w:val="00A813AC"/>
    <w:rsid w:val="00AC20B9"/>
    <w:rsid w:val="00BF6C42"/>
    <w:rsid w:val="00C27BD6"/>
    <w:rsid w:val="00CA3D67"/>
    <w:rsid w:val="00CB67FE"/>
    <w:rsid w:val="00D82277"/>
    <w:rsid w:val="00DA4E6F"/>
    <w:rsid w:val="00DB551D"/>
    <w:rsid w:val="00DE2ABE"/>
    <w:rsid w:val="00DE4A83"/>
    <w:rsid w:val="00DE7DA2"/>
    <w:rsid w:val="00EE5356"/>
    <w:rsid w:val="00F077CF"/>
    <w:rsid w:val="00F34054"/>
    <w:rsid w:val="00F3790E"/>
    <w:rsid w:val="00FB15AE"/>
    <w:rsid w:val="00FB2C66"/>
    <w:rsid w:val="00FD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AA04"/>
  <w15:chartTrackingRefBased/>
  <w15:docId w15:val="{16A2A883-23F7-4CA8-BAB0-FD9E45A8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523"/>
    <w:pPr>
      <w:spacing w:after="0" w:line="340" w:lineRule="atLeast"/>
      <w:jc w:val="both"/>
    </w:pPr>
    <w:rPr>
      <w:rFonts w:ascii="Times New Roman" w:eastAsia="Times New Roman" w:hAnsi="Times New Roman" w:cs="Times New Roman"/>
      <w:color w:val="000000"/>
      <w:sz w:val="24"/>
      <w:szCs w:val="20"/>
      <w:lang w:eastAsia="de-DE"/>
    </w:rPr>
  </w:style>
  <w:style w:type="paragraph" w:styleId="Heading1">
    <w:name w:val="heading 1"/>
    <w:basedOn w:val="Normal"/>
    <w:next w:val="Normal"/>
    <w:link w:val="Heading1Char"/>
    <w:uiPriority w:val="9"/>
    <w:qFormat/>
    <w:rsid w:val="005F6E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E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32textnoindent">
    <w:name w:val="MDPI_3.2_text_no_indent"/>
    <w:basedOn w:val="MDPI31text"/>
    <w:qFormat/>
    <w:rsid w:val="00630523"/>
    <w:pPr>
      <w:ind w:firstLine="0"/>
    </w:pPr>
  </w:style>
  <w:style w:type="paragraph" w:customStyle="1" w:styleId="MDPI31text">
    <w:name w:val="MDPI_3.1_text"/>
    <w:link w:val="MDPI31textChar"/>
    <w:qFormat/>
    <w:rsid w:val="00630523"/>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customStyle="1" w:styleId="MTDisplayEquation">
    <w:name w:val="MTDisplayEquation"/>
    <w:basedOn w:val="MDPI31text"/>
    <w:next w:val="Normal"/>
    <w:link w:val="MTDisplayEquationChar"/>
    <w:rsid w:val="00630523"/>
    <w:pPr>
      <w:tabs>
        <w:tab w:val="center" w:pos="4440"/>
        <w:tab w:val="right" w:pos="8860"/>
      </w:tabs>
    </w:pPr>
  </w:style>
  <w:style w:type="character" w:customStyle="1" w:styleId="MDPI31textChar">
    <w:name w:val="MDPI_3.1_text Char"/>
    <w:link w:val="MDPI31text"/>
    <w:rsid w:val="00630523"/>
    <w:rPr>
      <w:rFonts w:ascii="Palatino Linotype" w:eastAsia="Times New Roman" w:hAnsi="Palatino Linotype" w:cs="Times New Roman"/>
      <w:snapToGrid w:val="0"/>
      <w:color w:val="000000"/>
      <w:sz w:val="20"/>
      <w:lang w:eastAsia="de-DE" w:bidi="en-US"/>
    </w:rPr>
  </w:style>
  <w:style w:type="character" w:customStyle="1" w:styleId="MTDisplayEquationChar">
    <w:name w:val="MTDisplayEquation Char"/>
    <w:basedOn w:val="MDPI31textChar"/>
    <w:link w:val="MTDisplayEquation"/>
    <w:rsid w:val="00630523"/>
    <w:rPr>
      <w:rFonts w:ascii="Palatino Linotype" w:eastAsia="Times New Roman" w:hAnsi="Palatino Linotype" w:cs="Times New Roman"/>
      <w:snapToGrid w:val="0"/>
      <w:color w:val="000000"/>
      <w:sz w:val="20"/>
      <w:lang w:eastAsia="de-DE" w:bidi="en-US"/>
    </w:rPr>
  </w:style>
  <w:style w:type="character" w:styleId="PlaceholderText">
    <w:name w:val="Placeholder Text"/>
    <w:basedOn w:val="DefaultParagraphFont"/>
    <w:uiPriority w:val="99"/>
    <w:semiHidden/>
    <w:rsid w:val="00477FDE"/>
    <w:rPr>
      <w:color w:val="808080"/>
    </w:rPr>
  </w:style>
  <w:style w:type="table" w:styleId="TableGrid">
    <w:name w:val="Table Grid"/>
    <w:basedOn w:val="TableNormal"/>
    <w:uiPriority w:val="39"/>
    <w:rsid w:val="00F07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6E86"/>
    <w:rPr>
      <w:rFonts w:asciiTheme="majorHAnsi" w:eastAsiaTheme="majorEastAsia" w:hAnsiTheme="majorHAnsi" w:cstheme="majorBidi"/>
      <w:color w:val="2F5496" w:themeColor="accent1" w:themeShade="BF"/>
      <w:sz w:val="32"/>
      <w:szCs w:val="32"/>
      <w:lang w:eastAsia="de-DE"/>
    </w:rPr>
  </w:style>
  <w:style w:type="character" w:customStyle="1" w:styleId="Heading2Char">
    <w:name w:val="Heading 2 Char"/>
    <w:basedOn w:val="DefaultParagraphFont"/>
    <w:link w:val="Heading2"/>
    <w:uiPriority w:val="9"/>
    <w:rsid w:val="005F6E86"/>
    <w:rPr>
      <w:rFonts w:asciiTheme="majorHAnsi" w:eastAsiaTheme="majorEastAsia" w:hAnsiTheme="majorHAnsi" w:cstheme="majorBidi"/>
      <w:color w:val="2F5496" w:themeColor="accent1" w:themeShade="BF"/>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6.emf"/><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wmf"/><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9</Pages>
  <Words>1568</Words>
  <Characters>8013</Characters>
  <Application>Microsoft Office Word</Application>
  <DocSecurity>0</DocSecurity>
  <Lines>138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Christopher R</dc:creator>
  <cp:keywords/>
  <dc:description/>
  <cp:lastModifiedBy>Sherwood, Christopher R</cp:lastModifiedBy>
  <cp:revision>8</cp:revision>
  <dcterms:created xsi:type="dcterms:W3CDTF">2018-11-12T13:29:00Z</dcterms:created>
  <dcterms:modified xsi:type="dcterms:W3CDTF">2018-11-13T03:21:00Z</dcterms:modified>
</cp:coreProperties>
</file>