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PRD: Credit Card Statement Tracker</w:t>
      </w:r>
    </w:p>
    <w:p>
      <w:pPr>
        <w:pStyle w:val="Heading1"/>
      </w:pPr>
      <w:r>
        <w:t>0. Document Control</w:t>
      </w:r>
    </w:p>
    <w:p>
      <w:r>
        <w:t>Version 1.0 — 08 Sep 2026 — Owner: Chandra — Consolidated from STATE.md, PRODUCT_VISION.md, EXPENSE_ANALYTICS_VISION.md, CONVENTIONS.md. This document is regenerated whenever any of those source docs change materially — it is not maintained independently of them.</w:t>
      </w:r>
    </w:p>
    <w:p>
      <w:r>
        <w:rPr>
          <w:b/>
        </w:rPr>
        <w:t>Source-currency note.</w:t>
      </w:r>
      <w:r>
        <w:t xml:space="preserve"> Two source documents are behind the DEVLOG at the time of writing: STATE.md's "What this is" and "Current state" are current only to Session 30 (two banks, 153 tests), and PRODUCT_VISION.md's Tier 1 coverage line and sequencing list still show SBI and IndusInd as planned. DEVLOG Sessions 31–35 record all four parsers complete and reconciling at 239 tests. Where this PRD states the built position it follows the DEVLOG; the divergence is flagged again in Section 11 and in this session's DEVLOG "Next steps".</w:t>
      </w:r>
    </w:p>
    <w:p>
      <w:pPr>
        <w:pStyle w:val="Heading1"/>
      </w:pPr>
      <w:r>
        <w:t>1. Executive Summary</w:t>
      </w:r>
    </w:p>
    <w:p>
      <w:r>
        <w:t>A personal credit card statement tracker, built session by session as a deliberate, hands-on vehicle for learning Claude Code. It parses PDF credit card statements from multiple Indian banks, stores transactions locally, and is being extended with expense categorization and spend analytics.</w:t>
      </w:r>
    </w:p>
    <w:p>
      <w:pPr>
        <w:pStyle w:val="Heading1"/>
      </w:pPr>
      <w:r>
        <w:t>2. Background</w:t>
      </w:r>
    </w:p>
    <w:p>
      <w:r>
        <w:t>The project's original intent was not just to store statement data, but to aggregate spend across cards and understand where money is going, so it can be actively managed. Statement parsing and storage were built first as the necessary foundation; categorization and analytics are the layer that delivers on the original intent.</w:t>
      </w:r>
    </w:p>
    <w:p>
      <w:pPr>
        <w:pStyle w:val="Heading1"/>
      </w:pPr>
      <w:r>
        <w:t>3. Goals</w:t>
      </w:r>
    </w:p>
    <w:p>
      <w:pPr>
        <w:pStyle w:val="ListBullet"/>
      </w:pPr>
      <w:r>
        <w:t>Reliable, reconciled parsing across known Indian bank statement</w:t>
      </w:r>
    </w:p>
    <w:p>
      <w:r>
        <w:t>formats (HDFC Diners, ICICI Coral, SBI Titan, IndusInd Legend — all four complete and reconciling as of Session 35).</w:t>
      </w:r>
    </w:p>
    <w:p>
      <w:pPr>
        <w:pStyle w:val="ListBullet"/>
      </w:pPr>
      <w:r>
        <w:t>A path to support new, previously-unseen bank formats without</w:t>
      </w:r>
    </w:p>
    <w:p>
      <w:r>
        <w:t>rearchitecting (the four-tier parser roadmap).</w:t>
      </w:r>
    </w:p>
    <w:p>
      <w:pPr>
        <w:pStyle w:val="ListBullet"/>
      </w:pPr>
      <w:r>
        <w:t>Categorized transactions and commented spend insight, filterable by</w:t>
      </w:r>
    </w:p>
    <w:p>
      <w:r>
        <w:t>date range, month, quarter, and year.</w:t>
      </w:r>
    </w:p>
    <w:p>
      <w:pPr>
        <w:pStyle w:val="ListBullet"/>
      </w:pPr>
      <w:r>
        <w:t>The project itself is a deliberate Claude Code learning vehicle —</w:t>
      </w:r>
    </w:p>
    <w:p>
      <w:r>
        <w:t>session discipline (locked scope, DEVLOG entries, single commits) is a project goal, not just process overhead.</w:t>
      </w:r>
    </w:p>
    <w:p>
      <w:pPr>
        <w:pStyle w:val="Heading1"/>
      </w:pPr>
      <w:r>
        <w:t>4. Target User</w:t>
      </w:r>
    </w:p>
    <w:p>
      <w:r>
        <w:t>Single user (Chandra), personal use. No multi-user support, no authentication — explicit design decision, not a gap.</w:t>
      </w:r>
    </w:p>
    <w:p>
      <w:pPr>
        <w:pStyle w:val="Heading1"/>
      </w:pPr>
      <w:r>
        <w:t>5. Scope</w:t>
      </w:r>
    </w:p>
    <w:p>
      <w:r>
        <w:rPr>
          <w:b/>
        </w:rPr>
        <w:t>In scope:</w:t>
      </w:r>
      <w:r>
        <w:t xml:space="preserve"> parsing Indian bank credit card statements; expanding coverage to new banks via the parser-tier roadmap; expense categorization; spend analytics dashboard; drag-and-drop statement upload.</w:t>
      </w:r>
    </w:p>
    <w:p>
      <w:r>
        <w:rPr>
          <w:b/>
        </w:rPr>
        <w:t>Out of scope (explicit):</w:t>
      </w:r>
      <w:r>
        <w:t xml:space="preserve"> multi-user support; budgets or alerts with notifications; any external data source (bank APIs, account aggregators).</w:t>
      </w:r>
    </w:p>
    <w:p>
      <w:pPr>
        <w:pStyle w:val="Heading1"/>
      </w:pPr>
      <w:r>
        <w:t>6. Prioritized Requirements Index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Priority</w:t>
            </w:r>
          </w:p>
        </w:tc>
        <w:tc>
          <w:tcPr>
            <w:tcW w:type="dxa" w:w="1728"/>
          </w:tcPr>
          <w:p>
            <w:r>
              <w:rPr>
                <w:b/>
              </w:rPr>
            </w:r>
            <w:r>
              <w:rPr>
                <w:b/>
              </w:rPr>
              <w:t>#</w:t>
            </w:r>
          </w:p>
        </w:tc>
        <w:tc>
          <w:tcPr>
            <w:tcW w:type="dxa" w:w="1728"/>
          </w:tcPr>
          <w:p>
            <w:r>
              <w:rPr>
                <w:b/>
              </w:rPr>
            </w:r>
            <w:r>
              <w:rPr>
                <w:b/>
              </w:rPr>
              <w:t>Requirement</w:t>
            </w:r>
          </w:p>
        </w:tc>
        <w:tc>
          <w:tcPr>
            <w:tcW w:type="dxa" w:w="1728"/>
          </w:tcPr>
          <w:p>
            <w:r>
              <w:rPr>
                <w:b/>
              </w:rPr>
            </w:r>
            <w:r>
              <w:rPr>
                <w:b/>
              </w:rPr>
              <w:t>Status</w:t>
            </w:r>
          </w:p>
        </w:tc>
        <w:tc>
          <w:tcPr>
            <w:tcW w:type="dxa" w:w="1728"/>
          </w:tcPr>
          <w:p>
            <w:r>
              <w:rPr>
                <w:b/>
              </w:rPr>
            </w:r>
            <w:r>
              <w:rPr>
                <w:b/>
              </w:rPr>
              <w:t>Source</w:t>
            </w:r>
          </w:p>
        </w:tc>
      </w:tr>
      <w:tr>
        <w:tc>
          <w:tcPr>
            <w:tcW w:type="dxa" w:w="1728"/>
          </w:tcPr>
          <w:p>
            <w:r/>
            <w:r>
              <w:t>P0</w:t>
            </w:r>
          </w:p>
        </w:tc>
        <w:tc>
          <w:tcPr>
            <w:tcW w:type="dxa" w:w="1728"/>
          </w:tcPr>
          <w:p>
            <w:r/>
            <w:r>
              <w:t>1</w:t>
            </w:r>
          </w:p>
        </w:tc>
        <w:tc>
          <w:tcPr>
            <w:tcW w:type="dxa" w:w="1728"/>
          </w:tcPr>
          <w:p>
            <w:r/>
            <w:r>
              <w:t>Categorization data model + suggestion engine</w:t>
            </w:r>
          </w:p>
        </w:tc>
        <w:tc>
          <w:tcPr>
            <w:tcW w:type="dxa" w:w="1728"/>
          </w:tcPr>
          <w:p>
            <w:r/>
            <w:r>
              <w:t>Not started</w:t>
            </w:r>
          </w:p>
        </w:tc>
        <w:tc>
          <w:tcPr>
            <w:tcW w:type="dxa" w:w="1728"/>
          </w:tcPr>
          <w:p>
            <w:r/>
            <w:r>
              <w:t>EXPENSE_ANALYTICS_VISION.md, Module 2</w:t>
            </w:r>
          </w:p>
        </w:tc>
      </w:tr>
      <w:tr>
        <w:tc>
          <w:tcPr>
            <w:tcW w:type="dxa" w:w="1728"/>
          </w:tcPr>
          <w:p>
            <w:r/>
            <w:r>
              <w:t>P0</w:t>
            </w:r>
          </w:p>
        </w:tc>
        <w:tc>
          <w:tcPr>
            <w:tcW w:type="dxa" w:w="1728"/>
          </w:tcPr>
          <w:p>
            <w:r/>
            <w:r>
              <w:t>2</w:t>
            </w:r>
          </w:p>
        </w:tc>
        <w:tc>
          <w:tcPr>
            <w:tcW w:type="dxa" w:w="1728"/>
          </w:tcPr>
          <w:p>
            <w:r/>
            <w:r>
              <w:t>Categorization review/assign screen, incl. bulk-apply</w:t>
            </w:r>
          </w:p>
        </w:tc>
        <w:tc>
          <w:tcPr>
            <w:tcW w:type="dxa" w:w="1728"/>
          </w:tcPr>
          <w:p>
            <w:r/>
            <w:r>
              <w:t>Not started</w:t>
            </w:r>
          </w:p>
        </w:tc>
        <w:tc>
          <w:tcPr>
            <w:tcW w:type="dxa" w:w="1728"/>
          </w:tcPr>
          <w:p>
            <w:r/>
            <w:r>
              <w:t>Module 2</w:t>
            </w:r>
          </w:p>
        </w:tc>
      </w:tr>
      <w:tr>
        <w:tc>
          <w:tcPr>
            <w:tcW w:type="dxa" w:w="1728"/>
          </w:tcPr>
          <w:p>
            <w:r/>
            <w:r>
              <w:t>P0</w:t>
            </w:r>
          </w:p>
        </w:tc>
        <w:tc>
          <w:tcPr>
            <w:tcW w:type="dxa" w:w="1728"/>
          </w:tcPr>
          <w:p>
            <w:r/>
            <w:r>
              <w:t>3</w:t>
            </w:r>
          </w:p>
        </w:tc>
        <w:tc>
          <w:tcPr>
            <w:tcW w:type="dxa" w:w="1728"/>
          </w:tcPr>
          <w:p>
            <w:r/>
            <w:r>
              <w:t>Aggregation endpoint + dashboard (filters + LLM commentary)</w:t>
            </w:r>
          </w:p>
        </w:tc>
        <w:tc>
          <w:tcPr>
            <w:tcW w:type="dxa" w:w="1728"/>
          </w:tcPr>
          <w:p>
            <w:r/>
            <w:r>
              <w:t>Not started</w:t>
            </w:r>
          </w:p>
        </w:tc>
        <w:tc>
          <w:tcPr>
            <w:tcW w:type="dxa" w:w="1728"/>
          </w:tcPr>
          <w:p>
            <w:r/>
            <w:r>
              <w:t>Module 3</w:t>
            </w:r>
          </w:p>
        </w:tc>
      </w:tr>
      <w:tr>
        <w:tc>
          <w:tcPr>
            <w:tcW w:type="dxa" w:w="1728"/>
          </w:tcPr>
          <w:p>
            <w:r/>
            <w:r>
              <w:t>P0</w:t>
            </w:r>
          </w:p>
        </w:tc>
        <w:tc>
          <w:tcPr>
            <w:tcW w:type="dxa" w:w="1728"/>
          </w:tcPr>
          <w:p>
            <w:r/>
            <w:r>
              <w:t>4</w:t>
            </w:r>
          </w:p>
        </w:tc>
        <w:tc>
          <w:tcPr>
            <w:tcW w:type="dxa" w:w="1728"/>
          </w:tcPr>
          <w:p>
            <w:r/>
            <w:r>
              <w:t>Upload UI with bank/card auto-detect</w:t>
            </w:r>
          </w:p>
        </w:tc>
        <w:tc>
          <w:tcPr>
            <w:tcW w:type="dxa" w:w="1728"/>
          </w:tcPr>
          <w:p>
            <w:r/>
            <w:r>
              <w:t>Not started</w:t>
            </w:r>
          </w:p>
        </w:tc>
        <w:tc>
          <w:tcPr>
            <w:tcW w:type="dxa" w:w="1728"/>
          </w:tcPr>
          <w:p>
            <w:r/>
            <w:r>
              <w:t>Module 1</w:t>
            </w:r>
          </w:p>
        </w:tc>
      </w:tr>
      <w:tr>
        <w:tc>
          <w:tcPr>
            <w:tcW w:type="dxa" w:w="1728"/>
          </w:tcPr>
          <w:p>
            <w:r/>
            <w:r>
              <w:t>P1</w:t>
            </w:r>
          </w:p>
        </w:tc>
        <w:tc>
          <w:tcPr>
            <w:tcW w:type="dxa" w:w="1728"/>
          </w:tcPr>
          <w:p>
            <w:r/>
            <w:r>
              <w:t>5</w:t>
            </w:r>
          </w:p>
        </w:tc>
        <w:tc>
          <w:tcPr>
            <w:tcW w:type="dxa" w:w="1728"/>
          </w:tcPr>
          <w:p>
            <w:r/>
            <w:r>
              <w:t>Parser config schema (prerequisite for all remaining tiers)</w:t>
            </w:r>
          </w:p>
        </w:tc>
        <w:tc>
          <w:tcPr>
            <w:tcW w:type="dxa" w:w="1728"/>
          </w:tcPr>
          <w:p>
            <w:r/>
            <w:r>
              <w:t>Not started</w:t>
            </w:r>
          </w:p>
        </w:tc>
        <w:tc>
          <w:tcPr>
            <w:tcW w:type="dxa" w:w="1728"/>
          </w:tcPr>
          <w:p>
            <w:r/>
            <w:r>
              <w:t>PRODUCT_VISION.md</w:t>
            </w:r>
          </w:p>
        </w:tc>
      </w:tr>
      <w:tr>
        <w:tc>
          <w:tcPr>
            <w:tcW w:type="dxa" w:w="1728"/>
          </w:tcPr>
          <w:p>
            <w:r/>
            <w:r>
              <w:t>P1</w:t>
            </w:r>
          </w:p>
        </w:tc>
        <w:tc>
          <w:tcPr>
            <w:tcW w:type="dxa" w:w="1728"/>
          </w:tcPr>
          <w:p>
            <w:r/>
            <w:r>
              <w:t>6</w:t>
            </w:r>
          </w:p>
        </w:tc>
        <w:tc>
          <w:tcPr>
            <w:tcW w:type="dxa" w:w="1728"/>
          </w:tcPr>
          <w:p>
            <w:r/>
            <w:r>
              <w:t>Tier 4 — LLM auto-learn parser generation</w:t>
            </w:r>
          </w:p>
        </w:tc>
        <w:tc>
          <w:tcPr>
            <w:tcW w:type="dxa" w:w="1728"/>
          </w:tcPr>
          <w:p>
            <w:r/>
            <w:r>
              <w:t>Not started</w:t>
            </w:r>
          </w:p>
        </w:tc>
        <w:tc>
          <w:tcPr>
            <w:tcW w:type="dxa" w:w="1728"/>
          </w:tcPr>
          <w:p>
            <w:r/>
            <w:r>
              <w:t>PRODUCT_VISION.md</w:t>
            </w:r>
          </w:p>
        </w:tc>
      </w:tr>
      <w:tr>
        <w:tc>
          <w:tcPr>
            <w:tcW w:type="dxa" w:w="1728"/>
          </w:tcPr>
          <w:p>
            <w:r/>
            <w:r>
              <w:t>P1</w:t>
            </w:r>
          </w:p>
        </w:tc>
        <w:tc>
          <w:tcPr>
            <w:tcW w:type="dxa" w:w="1728"/>
          </w:tcPr>
          <w:p>
            <w:r/>
            <w:r>
              <w:t>7</w:t>
            </w:r>
          </w:p>
        </w:tc>
        <w:tc>
          <w:tcPr>
            <w:tcW w:type="dxa" w:w="1728"/>
          </w:tcPr>
          <w:p>
            <w:r/>
            <w:r>
              <w:t>Tier 3 — Guided manual config wizard</w:t>
            </w:r>
          </w:p>
        </w:tc>
        <w:tc>
          <w:tcPr>
            <w:tcW w:type="dxa" w:w="1728"/>
          </w:tcPr>
          <w:p>
            <w:r/>
            <w:r>
              <w:t>Not started</w:t>
            </w:r>
          </w:p>
        </w:tc>
        <w:tc>
          <w:tcPr>
            <w:tcW w:type="dxa" w:w="1728"/>
          </w:tcPr>
          <w:p>
            <w:r/>
            <w:r>
              <w:t>PRODUCT_VISION.md</w:t>
            </w:r>
          </w:p>
        </w:tc>
      </w:tr>
      <w:tr>
        <w:tc>
          <w:tcPr>
            <w:tcW w:type="dxa" w:w="1728"/>
          </w:tcPr>
          <w:p>
            <w:r/>
            <w:r>
              <w:t>P1</w:t>
            </w:r>
          </w:p>
        </w:tc>
        <w:tc>
          <w:tcPr>
            <w:tcW w:type="dxa" w:w="1728"/>
          </w:tcPr>
          <w:p>
            <w:r/>
            <w:r>
              <w:t>8</w:t>
            </w:r>
          </w:p>
        </w:tc>
        <w:tc>
          <w:tcPr>
            <w:tcW w:type="dxa" w:w="1728"/>
          </w:tcPr>
          <w:p>
            <w:r/>
            <w:r>
              <w:t>Tier 2 — Community-shared configs (depends on 6 or 7)</w:t>
            </w:r>
          </w:p>
        </w:tc>
        <w:tc>
          <w:tcPr>
            <w:tcW w:type="dxa" w:w="1728"/>
          </w:tcPr>
          <w:p>
            <w:r/>
            <w:r>
              <w:t>Not started</w:t>
            </w:r>
          </w:p>
        </w:tc>
        <w:tc>
          <w:tcPr>
            <w:tcW w:type="dxa" w:w="1728"/>
          </w:tcPr>
          <w:p>
            <w:r/>
            <w:r>
              <w:t>PRODUCT_VISION.md</w:t>
            </w:r>
          </w:p>
        </w:tc>
      </w:tr>
      <w:tr>
        <w:tc>
          <w:tcPr>
            <w:tcW w:type="dxa" w:w="1728"/>
          </w:tcPr>
          <w:p>
            <w:r/>
            <w:r>
              <w:t>P2</w:t>
            </w:r>
          </w:p>
        </w:tc>
        <w:tc>
          <w:tcPr>
            <w:tcW w:type="dxa" w:w="1728"/>
          </w:tcPr>
          <w:p>
            <w:r/>
            <w:r>
              <w:t>9</w:t>
            </w:r>
          </w:p>
        </w:tc>
        <w:tc>
          <w:tcPr>
            <w:tcW w:type="dxa" w:w="1728"/>
          </w:tcPr>
          <w:p>
            <w:r/>
            <w:r>
              <w:t>HTML page value formatting (dates, amounts)</w:t>
            </w:r>
          </w:p>
        </w:tc>
        <w:tc>
          <w:tcPr>
            <w:tcW w:type="dxa" w:w="1728"/>
          </w:tcPr>
          <w:p>
            <w:r/>
            <w:r>
              <w:t>Open, unscheduled</w:t>
            </w:r>
          </w:p>
        </w:tc>
        <w:tc>
          <w:tcPr>
            <w:tcW w:type="dxa" w:w="1728"/>
          </w:tcPr>
          <w:p>
            <w:r/>
            <w:r>
              <w:t>STATE.md</w:t>
            </w:r>
          </w:p>
        </w:tc>
      </w:tr>
      <w:tr>
        <w:tc>
          <w:tcPr>
            <w:tcW w:type="dxa" w:w="1728"/>
          </w:tcPr>
          <w:p>
            <w:r/>
            <w:r>
              <w:t>P2</w:t>
            </w:r>
          </w:p>
        </w:tc>
        <w:tc>
          <w:tcPr>
            <w:tcW w:type="dxa" w:w="1728"/>
          </w:tcPr>
          <w:p>
            <w:r/>
            <w:r>
              <w:t>10</w:t>
            </w:r>
          </w:p>
        </w:tc>
        <w:tc>
          <w:tcPr>
            <w:tcW w:type="dxa" w:w="1728"/>
          </w:tcPr>
          <w:p>
            <w:r/>
            <w:r>
              <w:t>Statements-list API (a card's statements/periods)</w:t>
            </w:r>
          </w:p>
        </w:tc>
        <w:tc>
          <w:tcPr>
            <w:tcW w:type="dxa" w:w="1728"/>
          </w:tcPr>
          <w:p>
            <w:r/>
            <w:r>
              <w:t>Open, unscheduled</w:t>
            </w:r>
          </w:p>
        </w:tc>
        <w:tc>
          <w:tcPr>
            <w:tcW w:type="dxa" w:w="1728"/>
          </w:tcPr>
          <w:p>
            <w:r/>
            <w:r>
              <w:t>STATE.md</w:t>
            </w:r>
          </w:p>
        </w:tc>
      </w:tr>
      <w:tr>
        <w:tc>
          <w:tcPr>
            <w:tcW w:type="dxa" w:w="1728"/>
          </w:tcPr>
          <w:p>
            <w:r/>
            <w:r>
              <w:t>P2</w:t>
            </w:r>
          </w:p>
        </w:tc>
        <w:tc>
          <w:tcPr>
            <w:tcW w:type="dxa" w:w="1728"/>
          </w:tcPr>
          <w:p>
            <w:r/>
            <w:r>
              <w:t>11</w:t>
            </w:r>
          </w:p>
        </w:tc>
        <w:tc>
          <w:tcPr>
            <w:tcW w:type="dxa" w:w="1728"/>
          </w:tcPr>
          <w:p>
            <w:r/>
            <w:r>
              <w:t>Frontend automated test coverage</w:t>
            </w:r>
          </w:p>
        </w:tc>
        <w:tc>
          <w:tcPr>
            <w:tcW w:type="dxa" w:w="1728"/>
          </w:tcPr>
          <w:p>
            <w:r/>
            <w:r>
              <w:t>Open, unscheduled</w:t>
            </w:r>
          </w:p>
        </w:tc>
        <w:tc>
          <w:tcPr>
            <w:tcW w:type="dxa" w:w="1728"/>
          </w:tcPr>
          <w:p>
            <w:r/>
            <w:r>
              <w:t>STATE.md</w:t>
            </w:r>
          </w:p>
        </w:tc>
      </w:tr>
      <w:tr>
        <w:tc>
          <w:tcPr>
            <w:tcW w:type="dxa" w:w="1728"/>
          </w:tcPr>
          <w:p>
            <w:r/>
            <w:r>
              <w:t>P2</w:t>
            </w:r>
          </w:p>
        </w:tc>
        <w:tc>
          <w:tcPr>
            <w:tcW w:type="dxa" w:w="1728"/>
          </w:tcPr>
          <w:p>
            <w:r/>
            <w:r>
              <w:t>12</w:t>
            </w:r>
          </w:p>
        </w:tc>
        <w:tc>
          <w:tcPr>
            <w:tcW w:type="dxa" w:w="1728"/>
          </w:tcPr>
          <w:p>
            <w:r/>
            <w:r>
              <w:t>Card-identity case-sensitivity cleanup</w:t>
            </w:r>
          </w:p>
        </w:tc>
        <w:tc>
          <w:tcPr>
            <w:tcW w:type="dxa" w:w="1728"/>
          </w:tcPr>
          <w:p>
            <w:r/>
            <w:r>
              <w:t>Open, documented not fixed</w:t>
            </w:r>
          </w:p>
        </w:tc>
        <w:tc>
          <w:tcPr>
            <w:tcW w:type="dxa" w:w="1728"/>
          </w:tcPr>
          <w:p>
            <w:r/>
            <w:r>
              <w:t>STATE.md</w:t>
            </w:r>
          </w:p>
        </w:tc>
      </w:tr>
      <w:tr>
        <w:tc>
          <w:tcPr>
            <w:tcW w:type="dxa" w:w="1728"/>
          </w:tcPr>
          <w:p>
            <w:r/>
            <w:r>
              <w:t>P2</w:t>
            </w:r>
          </w:p>
        </w:tc>
        <w:tc>
          <w:tcPr>
            <w:tcW w:type="dxa" w:w="1728"/>
          </w:tcPr>
          <w:p>
            <w:r/>
            <w:r>
              <w:t>13</w:t>
            </w:r>
          </w:p>
        </w:tc>
        <w:tc>
          <w:tcPr>
            <w:tcW w:type="dxa" w:w="1728"/>
          </w:tcPr>
          <w:p>
            <w:r/>
            <w:r>
              <w:t xml:space="preserve">Pagination for </w:t>
            </w:r>
            <w:r>
              <w:rPr>
                <w:rFonts w:ascii="Consolas" w:hAnsi="Consolas"/>
                <w:sz w:val="19"/>
              </w:rPr>
              <w:t>/transactions</w:t>
            </w:r>
            <w:r>
              <w:t xml:space="preserve"> and listing endpoints</w:t>
            </w:r>
          </w:p>
        </w:tc>
        <w:tc>
          <w:tcPr>
            <w:tcW w:type="dxa" w:w="1728"/>
          </w:tcPr>
          <w:p>
            <w:r/>
            <w:r>
              <w:t>Open, no evidence yet needed</w:t>
            </w:r>
          </w:p>
        </w:tc>
        <w:tc>
          <w:tcPr>
            <w:tcW w:type="dxa" w:w="1728"/>
          </w:tcPr>
          <w:p>
            <w:r/>
            <w:r>
              <w:t>STATE.md</w:t>
            </w:r>
          </w:p>
        </w:tc>
      </w:tr>
    </w:tbl>
    <w:p/>
    <w:p>
      <w:r>
        <w:t>P0 = the arc currently being built, in its locked build order. P1 = the parser-tier roadmap, on hold while P0 is in progress. P2 = named gaps with no scheduled arc.</w:t>
      </w:r>
    </w:p>
    <w:p>
      <w:pPr>
        <w:pStyle w:val="Heading1"/>
      </w:pPr>
      <w:r>
        <w:t>7. Detailed Functional Requirements</w:t>
      </w:r>
    </w:p>
    <w:p>
      <w:pPr>
        <w:pStyle w:val="Heading2"/>
      </w:pPr>
      <w:r>
        <w:t>7.1 Statement Parsing (built)</w:t>
      </w:r>
    </w:p>
    <w:p>
      <w:r>
        <w:t>A personal credit card statement tracker, built session by session as a deliberate, hands-on vehicle for learning Claude Code. It parses monthly PDF credit card statements, persists parsed transactions to a local SQLite database, and exposes that data through a queryable API and a web dashboard.</w:t>
      </w:r>
    </w:p>
    <w:p>
      <w:r>
        <w:t>Four bank/card-type parsers are implemented and reconciling against real sample statements: HDFC Diners (across two known statement layouts, a current template and an older "legacy" one, auto-detected from the PDF's own text), ICICI Coral, SBI Titan, and IndusInd Legend. Every parser is validated by the same reconciliation check — parsed totals against the statement's own summary box.</w:t>
      </w:r>
    </w:p>
    <w:p>
      <w:r>
        <w:t>The import pipeline works end-to-end and is bank-agnostic from the CLI down: parsing, an adapter bridging parser output to storage (</w:t>
      </w:r>
      <w:r>
        <w:rPr>
          <w:rFonts w:ascii="Consolas" w:hAnsi="Consolas"/>
          <w:sz w:val="19"/>
        </w:rPr>
        <w:t>from_parsed_statement</w:t>
      </w:r>
      <w:r>
        <w:t xml:space="preserve">, shared by all banks), atomic deduped writes, a filtered read path, and </w:t>
      </w:r>
      <w:r>
        <w:rPr>
          <w:rFonts w:ascii="Consolas" w:hAnsi="Consolas"/>
          <w:sz w:val="19"/>
        </w:rPr>
        <w:t>GET /transactions</w:t>
      </w:r>
      <w:r>
        <w:t xml:space="preserve">, </w:t>
      </w:r>
      <w:r>
        <w:rPr>
          <w:rFonts w:ascii="Consolas" w:hAnsi="Consolas"/>
          <w:sz w:val="19"/>
        </w:rPr>
        <w:t>GET /cards</w:t>
      </w:r>
      <w:r>
        <w:t xml:space="preserve">, </w:t>
      </w:r>
      <w:r>
        <w:rPr>
          <w:rFonts w:ascii="Consolas" w:hAnsi="Consolas"/>
          <w:sz w:val="19"/>
        </w:rPr>
        <w:t>GET /statement-months</w:t>
      </w:r>
      <w:r>
        <w:t xml:space="preserve">, and </w:t>
      </w:r>
      <w:r>
        <w:rPr>
          <w:rFonts w:ascii="Consolas" w:hAnsi="Consolas"/>
          <w:sz w:val="19"/>
        </w:rPr>
        <w:t>GET /card-types</w:t>
      </w:r>
      <w:r>
        <w:t xml:space="preserve"> FastAPI endpoints. The </w:t>
      </w:r>
      <w:r>
        <w:rPr>
          <w:rFonts w:ascii="Consolas" w:hAnsi="Consolas"/>
          <w:sz w:val="19"/>
        </w:rPr>
        <w:t>statements</w:t>
      </w:r>
      <w:r>
        <w:t xml:space="preserve"> table carries a </w:t>
      </w:r>
      <w:r>
        <w:rPr>
          <w:rFonts w:ascii="Consolas" w:hAnsi="Consolas"/>
          <w:sz w:val="19"/>
        </w:rPr>
        <w:t>statement_month</w:t>
      </w:r>
      <w:r>
        <w:t xml:space="preserve"> column (e.g. </w:t>
      </w:r>
      <w:r>
        <w:rPr>
          <w:rFonts w:ascii="Consolas" w:hAnsi="Consolas"/>
          <w:sz w:val="19"/>
        </w:rPr>
        <w:t>July-2026</w:t>
      </w:r>
      <w:r>
        <w:t xml:space="preserve">), generated from </w:t>
      </w:r>
      <w:r>
        <w:rPr>
          <w:rFonts w:ascii="Consolas" w:hAnsi="Consolas"/>
          <w:sz w:val="19"/>
        </w:rPr>
        <w:t>period_end</w:t>
      </w:r>
      <w:r>
        <w:t xml:space="preserve"> rather than typed in.</w:t>
      </w:r>
    </w:p>
    <w:p>
      <w:r>
        <w:t>A single-page HTML frontend (</w:t>
      </w:r>
      <w:r>
        <w:rPr>
          <w:rFonts w:ascii="Consolas" w:hAnsi="Consolas"/>
          <w:sz w:val="19"/>
        </w:rPr>
        <w:t>static/index.html</w:t>
      </w:r>
      <w:r>
        <w:t xml:space="preserve">, served at </w:t>
      </w:r>
      <w:r>
        <w:rPr>
          <w:rFonts w:ascii="Consolas" w:hAnsi="Consolas"/>
          <w:sz w:val="19"/>
        </w:rPr>
        <w:t>GET /</w:t>
      </w:r>
      <w:r>
        <w:t xml:space="preserve">) consumes all four endpoints via </w:t>
      </w:r>
      <w:r>
        <w:rPr>
          <w:rFonts w:ascii="Consolas" w:hAnsi="Consolas"/>
          <w:sz w:val="19"/>
        </w:rPr>
        <w:t>fetch()</w:t>
      </w:r>
      <w:r>
        <w:t>, rendering a transactions table filterable by card, bank, card type, statement month, and date range (from and to), with filter state synced to the URL.</w:t>
      </w:r>
    </w:p>
    <w:p>
      <w:r>
        <w:t xml:space="preserve">Three command-line tools exist — </w:t>
      </w:r>
      <w:r>
        <w:rPr>
          <w:rFonts w:ascii="Consolas" w:hAnsi="Consolas"/>
          <w:sz w:val="19"/>
        </w:rPr>
        <w:t>create_card</w:t>
      </w:r>
      <w:r>
        <w:t xml:space="preserve">, </w:t>
      </w:r>
      <w:r>
        <w:rPr>
          <w:rFonts w:ascii="Consolas" w:hAnsi="Consolas"/>
          <w:sz w:val="19"/>
        </w:rPr>
        <w:t>import_statement</w:t>
      </w:r>
      <w:r>
        <w:t xml:space="preserve">, and </w:t>
      </w:r>
      <w:r>
        <w:rPr>
          <w:rFonts w:ascii="Consolas" w:hAnsi="Consolas"/>
          <w:sz w:val="19"/>
        </w:rPr>
        <w:t>query_transactions</w:t>
      </w:r>
      <w:r>
        <w:t xml:space="preserve"> — all following the same shape, each documented with a usage docstring plus a README section.</w:t>
      </w:r>
    </w:p>
    <w:p>
      <w:r>
        <w:t>*Sourcing:* the first two paragraphs above adapt STATE.md's "What this is" and "Current state"; the four-bank and reconciliation statements follow DEVLOG Sessions 31–35, which supersede STATE.md's Session 30 snapshot. See the Section 0 source-currency note.</w:t>
      </w:r>
    </w:p>
    <w:p>
      <w:pPr>
        <w:pStyle w:val="Heading2"/>
      </w:pPr>
      <w:r>
        <w:t>7.2 Universal Parser Roadmap (P1)</w:t>
      </w:r>
    </w:p>
    <w:p>
      <w:r>
        <w:t>The goal: any user can upload any bank's credit card statement and get parsed, reconciled transactions — regardless of whether the app has seen that bank's format before.</w:t>
      </w:r>
    </w:p>
    <w:p>
      <w:r>
        <w:t xml:space="preserve">All tiers produce the same output (a </w:t>
      </w:r>
      <w:r>
        <w:rPr>
          <w:rFonts w:ascii="Consolas" w:hAnsi="Consolas"/>
          <w:sz w:val="19"/>
        </w:rPr>
        <w:t>ParsedStatement</w:t>
      </w:r>
      <w:r>
        <w:t xml:space="preserve"> conforming to </w:t>
      </w:r>
      <w:r>
        <w:rPr>
          <w:rFonts w:ascii="Consolas" w:hAnsi="Consolas"/>
          <w:sz w:val="19"/>
        </w:rPr>
        <w:t>parsers/base.py</w:t>
      </w:r>
      <w:r>
        <w:t>'s contract) and are validated by the same reconciliation check (parsed totals vs. the statement's own summary box).</w:t>
      </w:r>
    </w:p>
    <w:p>
      <w:r>
        <w:rPr>
          <w:b/>
        </w:rPr>
        <w:t>Tier 1 — Pre-built parsers.</w:t>
      </w:r>
      <w:r>
        <w:t xml:space="preserve"> Hand-built, verified regex parsers for known banks. Instant, free, offline, highest accuracy. PRODUCT_VISION.md records coverage as "Current coverage: HDFC Diners, ICICI Coral. Planned: SBI, IndusInd." — per DEVLOG Sessions 32–35 all four are now complete.</w:t>
      </w:r>
    </w:p>
    <w:p>
      <w:r>
        <w:rPr>
          <w:b/>
        </w:rPr>
        <w:t>Tier 2 — Community-shared configs.</w:t>
      </w:r>
      <w:r>
        <w:t xml:space="preserve"> Users who have configured their bank's format (via Tier 3 or Tier 4) can export and share their parser config. Other users download it and import instantly — no setup needed. Configs contain only regex patterns and field positions, never personal data.</w:t>
      </w:r>
    </w:p>
    <w:p>
      <w:r>
        <w:rPr>
          <w:b/>
        </w:rPr>
        <w:t>Tier 3 — Guided manual config wizard.</w:t>
      </w:r>
      <w:r>
        <w:t xml:space="preserve"> A UI wizard that shows the user their statement's raw text and walks them through identifying the format: which part is the date, which is the amount, how are credits marked, where is the summary box. One-time setup per bank format; the app caches the config for all future imports. No LLM, no API key, no network dependency.</w:t>
      </w:r>
    </w:p>
    <w:p>
      <w:r>
        <w:rPr>
          <w:b/>
        </w:rPr>
        <w:t>Tier 4 — LLM auto-learn.</w:t>
      </w:r>
      <w:r>
        <w:t xml:space="preserve"> For users with LLM API access. The app sends extracted PDF text to an LLM (e.g., Claude API), which returns a structured parser config — regex pattern, field positions, classification rule, date format, summary extraction hints. The reconciliation check validates the config automatically; if totals don't match, the app retries or flags for manual review. On success, the config is cached — first import is slow (LLM round-trip), every subsequent import is fast and free (cached config, no LLM call).</w:t>
      </w:r>
    </w:p>
    <w:p>
      <w:r>
        <w:rPr>
          <w:b/>
        </w:rPr>
        <w:t>Why the current architecture supports this:</w:t>
      </w:r>
    </w:p>
    <w:p>
      <w:pPr>
        <w:pStyle w:val="ListBullet"/>
      </w:pPr>
      <w:r>
        <w:rPr>
          <w:b/>
        </w:rPr>
        <w:t>`ParsedStatement` contract</w:t>
      </w:r>
      <w:r>
        <w:t xml:space="preserve"> — the output shape is identical regardless</w:t>
      </w:r>
    </w:p>
    <w:p>
      <w:r>
        <w:t>of which tier produced it. Storage, API, and frontend are parser-agnostic.</w:t>
      </w:r>
    </w:p>
    <w:p>
      <w:pPr>
        <w:pStyle w:val="ListBullet"/>
      </w:pPr>
      <w:r>
        <w:rPr>
          <w:b/>
        </w:rPr>
        <w:t>Reconciliation as a quality gate</w:t>
      </w:r>
      <w:r>
        <w:t xml:space="preserve"> — works for hand-built parsers and</w:t>
      </w:r>
    </w:p>
    <w:p>
      <w:r>
        <w:t>auto-generated configs equally. A parser that doesn't reconcile is flagged as wrong, regardless of how it was created.</w:t>
      </w:r>
    </w:p>
    <w:p>
      <w:pPr>
        <w:pStyle w:val="ListBullet"/>
      </w:pPr>
      <w:r>
        <w:rPr>
          <w:b/>
        </w:rPr>
        <w:t>Bank-agnostic infrastructure</w:t>
      </w:r>
      <w:r>
        <w:t xml:space="preserve"> — dispatch, adapter, CLI, and API are</w:t>
      </w:r>
    </w:p>
    <w:p>
      <w:r>
        <w:t>being generalized (Session 30+) so adding a new bank is "drop in a parser module," not "touch six files."</w:t>
      </w:r>
    </w:p>
    <w:p>
      <w:pPr>
        <w:pStyle w:val="ListBullet"/>
      </w:pPr>
      <w:r>
        <w:rPr>
          <w:b/>
        </w:rPr>
        <w:t>Hand-built parsers as training data</w:t>
      </w:r>
      <w:r>
        <w:t xml:space="preserve"> — the four Tier 1 parsers become</w:t>
      </w:r>
    </w:p>
    <w:p>
      <w:r>
        <w:t>few-shot examples for the Tier 4 LLM prompt, and reference implementations for Tier 3's wizard to emulate.</w:t>
      </w:r>
    </w:p>
    <w:p>
      <w:pPr>
        <w:pStyle w:val="Heading2"/>
      </w:pPr>
      <w:r>
        <w:t>7.3 Expense Categorization &amp; Analytics (P0)</w:t>
      </w:r>
    </w:p>
    <w:p>
      <w:r>
        <w:t xml:space="preserve">Additive only. Reuses the existing parser pipeline, storage layer, and </w:t>
      </w:r>
      <w:r>
        <w:rPr>
          <w:rFonts w:ascii="Consolas" w:hAnsi="Consolas"/>
          <w:sz w:val="19"/>
        </w:rPr>
        <w:t>/transactions</w:t>
      </w:r>
      <w:r>
        <w:t xml:space="preserve"> API as-is. Adds a </w:t>
      </w:r>
      <w:r>
        <w:rPr>
          <w:rFonts w:ascii="Consolas" w:hAnsi="Consolas"/>
          <w:sz w:val="19"/>
        </w:rPr>
        <w:t>categories</w:t>
      </w:r>
      <w:r>
        <w:t xml:space="preserve"> concept to the data model, new endpoints for categorization and aggregation, and new frontend screens alongside the existing transaction-list page.</w:t>
      </w:r>
    </w:p>
    <w:p>
      <w:r>
        <w:rPr>
          <w:b/>
        </w:rPr>
        <w:t>Module 1 — Upload &amp; Auto-Import.</w:t>
      </w:r>
      <w:r>
        <w:t xml:space="preserve"> Drag-and-drop upload that auto-detects the bank/card from the PDF and loads it — no manual card selection. This reverses the STATE.md decision that card-type auto-detection is deferred; that reversal is the locked decision as of that document. Zero-match (new card) and multi-match (ambiguous existing card) handling are deliberately left open — to be resolved when this module is actually scoped, per the project's anti-speculation rule, since it's last in the build sequence.</w:t>
      </w:r>
    </w:p>
    <w:p>
      <w:r>
        <w:rPr>
          <w:b/>
        </w:rPr>
        <w:t>Module 2 — Categorization.</w:t>
      </w:r>
    </w:p>
    <w:p>
      <w:pPr>
        <w:pStyle w:val="ListBullet"/>
      </w:pPr>
      <w:r>
        <w:t>Free-text categories only — no predefined starter list.</w:t>
      </w:r>
    </w:p>
    <w:p>
      <w:pPr>
        <w:pStyle w:val="ListBullet"/>
      </w:pPr>
      <w:r>
        <w:t>Suggestion engine: simple pattern-matching learned from the user's own</w:t>
      </w:r>
    </w:p>
    <w:p>
      <w:r>
        <w:t>past categorizations. No AI/LLM call for suggestions. Room to add an AI-based layer later if accuracy proves insufficient.</w:t>
      </w:r>
    </w:p>
    <w:p>
      <w:pPr>
        <w:pStyle w:val="ListBullet"/>
      </w:pPr>
      <w:r>
        <w:t>Bulk categorization is in scope: applying a category to every</w:t>
      </w:r>
    </w:p>
    <w:p>
      <w:r>
        <w:t>transaction from a given merchant in one action, not row by row — without this, the "learns over time" benefit doesn't get exercised fast enough to matter.</w:t>
      </w:r>
    </w:p>
    <w:p>
      <w:r>
        <w:rPr>
          <w:b/>
        </w:rPr>
        <w:t>Module 3 — Analytics Dashboard.</w:t>
      </w:r>
    </w:p>
    <w:p>
      <w:pPr>
        <w:pStyle w:val="ListBullet"/>
      </w:pPr>
      <w:r>
        <w:t>Spend by category, filterable by custom range, month, quarter, year.</w:t>
      </w:r>
    </w:p>
    <w:p>
      <w:pPr>
        <w:pStyle w:val="ListBullet"/>
      </w:pPr>
      <w:r>
        <w:t>Commentary is LLM-generated (e.g. a free-tier cloud API such as</w:t>
      </w:r>
    </w:p>
    <w:p>
      <w:r>
        <w:t>Gemini), not rule-based — a deliberate exception to the project's usual practice of never letting real financial data leave the machine. Scoped narrowly: only aggregated category totals (category, amount, period) are sent to the API — never individual transactions, merchant names, or reference numbers.</w:t>
      </w:r>
    </w:p>
    <w:p>
      <w:r>
        <w:rPr>
          <w:b/>
        </w:rPr>
        <w:t>Build sequence:</w:t>
      </w:r>
    </w:p>
    <w:p>
      <w:pPr>
        <w:pStyle w:val="ListNumber"/>
      </w:pPr>
      <w:r>
        <w:t>Categorization data model + suggestion engine (backend)</w:t>
      </w:r>
    </w:p>
    <w:p>
      <w:pPr>
        <w:pStyle w:val="ListNumber"/>
      </w:pPr>
      <w:r>
        <w:t>Categorization review/assign screen, including bulk-apply (frontend)</w:t>
      </w:r>
    </w:p>
    <w:p>
      <w:pPr>
        <w:pStyle w:val="ListNumber"/>
      </w:pPr>
      <w:r>
        <w:t>Aggregation endpoint + dashboard with filters and LLM commentary</w:t>
      </w:r>
    </w:p>
    <w:p>
      <w:pPr>
        <w:pStyle w:val="ListNumber"/>
      </w:pPr>
      <w:r>
        <w:t>Upload UI with auto-detect (Module 1)</w:t>
      </w:r>
    </w:p>
    <w:p>
      <w:pPr>
        <w:pStyle w:val="Heading1"/>
      </w:pPr>
      <w:r>
        <w:t>8. Non-Functional / Technical Constraints</w:t>
      </w:r>
    </w:p>
    <w:p>
      <w:pPr>
        <w:pStyle w:val="ListBullet"/>
      </w:pPr>
      <w:r>
        <w:t>Single-user, local-file storage. Single-user is implicit throughout —</w:t>
      </w:r>
    </w:p>
    <w:p>
      <w:r>
        <w:t>no auth, no user table, one local SQLite file.</w:t>
      </w:r>
    </w:p>
    <w:p>
      <w:pPr>
        <w:pStyle w:val="ListBullet"/>
      </w:pPr>
      <w:r>
        <w:t>Multi-row writes (a statement plus all its transactions) go through a</w:t>
      </w:r>
    </w:p>
    <w:p>
      <w:r>
        <w:t>single SQL transaction — no partial writes survive a failure.</w:t>
      </w:r>
    </w:p>
    <w:p>
      <w:pPr>
        <w:pStyle w:val="ListBullet"/>
      </w:pPr>
      <w:r>
        <w:t>Reconciliation is a mandatory quality gate for every parser tier,</w:t>
      </w:r>
    </w:p>
    <w:p>
      <w:r>
        <w:t>including future ones: a parser that doesn't reconcile is flagged as wrong, regardless of how it was created.</w:t>
      </w:r>
    </w:p>
    <w:p>
      <w:pPr>
        <w:pStyle w:val="ListBullet"/>
      </w:pPr>
      <w:r>
        <w:t>One parser module per bank + card type, with a dispatch layer routing</w:t>
      </w:r>
    </w:p>
    <w:p>
      <w:r>
        <w:t>by card type. Statement-layout detection is a separate, lower-level concern inside the bank module, not part of dispatch — the two axes are kept independent on purpose.</w:t>
      </w:r>
    </w:p>
    <w:p>
      <w:pPr>
        <w:pStyle w:val="ListBullet"/>
      </w:pPr>
      <w:r>
        <w:t xml:space="preserve">Card identity: </w:t>
      </w:r>
      <w:r>
        <w:rPr>
          <w:rFonts w:ascii="Consolas" w:hAnsi="Consolas"/>
          <w:sz w:val="19"/>
        </w:rPr>
        <w:t>nickname</w:t>
      </w:r>
      <w:r>
        <w:t xml:space="preserve"> must identify the physical card (e.g.</w:t>
      </w:r>
    </w:p>
    <w:p>
      <w:r>
        <w:rPr>
          <w:rFonts w:ascii="Consolas" w:hAnsi="Consolas"/>
          <w:sz w:val="19"/>
        </w:rPr>
        <w:t>Primary</w:t>
      </w:r>
      <w:r>
        <w:t xml:space="preserve">), never a statement period — the generated </w:t>
      </w:r>
      <w:r>
        <w:rPr>
          <w:rFonts w:ascii="Consolas" w:hAnsi="Consolas"/>
          <w:sz w:val="19"/>
        </w:rPr>
        <w:t>statement_month</w:t>
      </w:r>
      <w:r>
        <w:t xml:space="preserve"> field is the correct place for that. Future imports should attach to the existing card, not create a new one per month.</w:t>
      </w:r>
    </w:p>
    <w:p>
      <w:pPr>
        <w:pStyle w:val="ListBullet"/>
      </w:pPr>
      <w:r>
        <w:t>Multiple unnamed cards of the same bank/type are allowed on purpose;</w:t>
      </w:r>
    </w:p>
    <w:p>
      <w:r>
        <w:t xml:space="preserve">SQLite's NULL-distinct behavior for the </w:t>
      </w:r>
      <w:r>
        <w:rPr>
          <w:rFonts w:ascii="Consolas" w:hAnsi="Consolas"/>
          <w:sz w:val="19"/>
        </w:rPr>
        <w:t>(bank, card_type, nickname)</w:t>
      </w:r>
      <w:r>
        <w:t xml:space="preserve"> UNIQUE constraint is preserved by design, not fixed.</w:t>
      </w:r>
    </w:p>
    <w:p>
      <w:pPr>
        <w:pStyle w:val="ListBullet"/>
      </w:pPr>
      <w:r>
        <w:t xml:space="preserve">No index on </w:t>
      </w:r>
      <w:r>
        <w:rPr>
          <w:rFonts w:ascii="Consolas" w:hAnsi="Consolas"/>
          <w:sz w:val="19"/>
        </w:rPr>
        <w:t>statements.statement_month</w:t>
      </w:r>
      <w:r>
        <w:t xml:space="preserve"> — an explicit decision, not an</w:t>
      </w:r>
    </w:p>
    <w:p>
      <w:r>
        <w:t>omission, given a single-user local-file database with a small statement count. Revisit only if that assumption stops holding.</w:t>
      </w:r>
    </w:p>
    <w:p>
      <w:pPr>
        <w:pStyle w:val="ListBullet"/>
      </w:pPr>
      <w:r>
        <w:t xml:space="preserve">The frontend is a thin </w:t>
      </w:r>
      <w:r>
        <w:rPr>
          <w:rFonts w:ascii="Consolas" w:hAnsi="Consolas"/>
          <w:sz w:val="19"/>
        </w:rPr>
        <w:t>fetch()</w:t>
      </w:r>
      <w:r>
        <w:t>-based consumer of the API — it never</w:t>
      </w:r>
    </w:p>
    <w:p>
      <w:r>
        <w:t>reaches into the database directly, and never exposes anything the endpoints don't already return.</w:t>
      </w:r>
    </w:p>
    <w:p>
      <w:pPr>
        <w:pStyle w:val="ListBullet"/>
      </w:pPr>
      <w:r>
        <w:t xml:space="preserve">Scripts under </w:t>
      </w:r>
      <w:r>
        <w:rPr>
          <w:rFonts w:ascii="Consolas" w:hAnsi="Consolas"/>
          <w:sz w:val="19"/>
        </w:rPr>
        <w:t>scripts/</w:t>
      </w:r>
      <w:r>
        <w:t xml:space="preserve"> are run as </w:t>
      </w:r>
      <w:r>
        <w:rPr>
          <w:rFonts w:ascii="Consolas" w:hAnsi="Consolas"/>
          <w:sz w:val="19"/>
        </w:rPr>
        <w:t>python3 -m scripts.&lt;name&gt;</w:t>
      </w:r>
      <w:r>
        <w:t xml:space="preserve"> from</w:t>
      </w:r>
    </w:p>
    <w:p>
      <w:r>
        <w:t>the project root with the virtual environment active, never invoked directly as a file path.</w:t>
      </w:r>
    </w:p>
    <w:p>
      <w:pPr>
        <w:pStyle w:val="Heading1"/>
      </w:pPr>
      <w:r>
        <w:t>9. Data &amp; Privacy Requirements</w:t>
      </w:r>
    </w:p>
    <w:p>
      <w:pPr>
        <w:pStyle w:val="ListBullet"/>
      </w:pPr>
      <w:r>
        <w:t>When working with real financial data — imported bank statements,</w:t>
      </w:r>
    </w:p>
    <w:p>
      <w:r>
        <w:t>actual transactions in the database — only counts, reconciliation numbers, and statement period ranges may appear in any documentation surface. This includes DEVLOG entries, learning summaries, Claude Code prompts, README examples, screenshots, and chat transcripts shared for review. Never merchant names, never amounts, never individual transaction dates, never reference numbers, never reward point values.</w:t>
      </w:r>
    </w:p>
    <w:p>
      <w:pPr>
        <w:pStyle w:val="ListBullet"/>
      </w:pPr>
      <w:r>
        <w:t>The rationale is that the DEVLOG and learning history are checked into</w:t>
      </w:r>
    </w:p>
    <w:p>
      <w:r>
        <w:t>git and may be shared publicly; real credit card statement content should never end up in a public git history — not the statement file itself (already git-ignored), and not fragments of it quoted into documentation either.</w:t>
      </w:r>
    </w:p>
    <w:p>
      <w:pPr>
        <w:pStyle w:val="ListBullet"/>
      </w:pPr>
      <w:r>
        <w:t>Exploration output files (</w:t>
      </w:r>
      <w:r>
        <w:rPr>
          <w:rFonts w:ascii="Consolas" w:hAnsi="Consolas"/>
          <w:sz w:val="19"/>
        </w:rPr>
        <w:t>data/exploration_output*.txt</w:t>
      </w:r>
      <w:r>
        <w:t>) contain raw</w:t>
      </w:r>
    </w:p>
    <w:p>
      <w:r>
        <w:t>extracted text from real bank statements. They are git-ignored and must never be committed, pushed, or shared.</w:t>
      </w:r>
    </w:p>
    <w:p>
      <w:pPr>
        <w:pStyle w:val="ListBullet"/>
      </w:pPr>
      <w:r>
        <w:rPr>
          <w:b/>
        </w:rPr>
        <w:t>The one named exception:</w:t>
      </w:r>
      <w:r>
        <w:t xml:space="preserve"> dashboard commentary (Section 7.3) sends</w:t>
      </w:r>
    </w:p>
    <w:p>
      <w:r>
        <w:t>aggregated category-level totals only — category, amount, period — to an external LLM API. Never individual transactions, merchant names, or reference numbers.</w:t>
      </w:r>
    </w:p>
    <w:p>
      <w:pPr>
        <w:pStyle w:val="Heading1"/>
      </w:pPr>
      <w:r>
        <w:t>10. Assumptions &amp; Open Questions</w:t>
      </w:r>
    </w:p>
    <w:p>
      <w:r>
        <w:t>From PRODUCT_VISION.md (to be answered when that document is revisited):</w:t>
      </w:r>
    </w:p>
    <w:p>
      <w:pPr>
        <w:pStyle w:val="ListBullet"/>
      </w:pPr>
      <w:r>
        <w:t>Config format: what schema describes a parser config portably (regex</w:t>
      </w:r>
    </w:p>
    <w:p>
      <w:r>
        <w:t>patterns, field positions, classification rules, date format)? — TBD</w:t>
      </w:r>
    </w:p>
    <w:p>
      <w:pPr>
        <w:pStyle w:val="ListBullet"/>
      </w:pPr>
      <w:r>
        <w:t>Community registry: hosted service, GitHub repo of configs, or</w:t>
      </w:r>
    </w:p>
    <w:p>
      <w:r>
        <w:t>in-app sharing? — TBD</w:t>
      </w:r>
    </w:p>
    <w:p>
      <w:pPr>
        <w:pStyle w:val="ListBullet"/>
      </w:pPr>
      <w:r>
        <w:t>Tier 3 wizard: what's the minimum viable UX that a non-technical user</w:t>
      </w:r>
    </w:p>
    <w:p>
      <w:r>
        <w:t>can complete? — TBD</w:t>
      </w:r>
    </w:p>
    <w:p>
      <w:pPr>
        <w:pStyle w:val="ListBullet"/>
      </w:pPr>
      <w:r>
        <w:t>Tier 4 prompt engineering: how many few-shot examples are needed for</w:t>
      </w:r>
    </w:p>
    <w:p>
      <w:r>
        <w:t>reliable config generation? — TBD</w:t>
      </w:r>
    </w:p>
    <w:p>
      <w:pPr>
        <w:pStyle w:val="ListBullet"/>
      </w:pPr>
      <w:r>
        <w:t>Reconciliation failure handling: retry logic, confidence scoring, or</w:t>
      </w:r>
    </w:p>
    <w:p>
      <w:r>
        <w:t>manual review queue? — TBD</w:t>
      </w:r>
    </w:p>
    <w:p>
      <w:r>
        <w:t>From EXPENSE_ANALYTICS_VISION.md (to be answered when each module is scoped):</w:t>
      </w:r>
    </w:p>
    <w:p>
      <w:pPr>
        <w:pStyle w:val="ListBullet"/>
      </w:pPr>
      <w:r>
        <w:t>Module 1: zero-match / multi-match card resolution at upload time —</w:t>
      </w:r>
    </w:p>
    <w:p>
      <w:r>
        <w:t>TBD</w:t>
      </w:r>
    </w:p>
    <w:p>
      <w:pPr>
        <w:pStyle w:val="ListBullet"/>
      </w:pPr>
      <w:r>
        <w:t xml:space="preserve">Module 3: Gemini API key storage — follows the existing </w:t>
      </w:r>
      <w:r>
        <w:rPr>
          <w:rFonts w:ascii="Consolas" w:hAnsi="Consolas"/>
          <w:sz w:val="19"/>
        </w:rPr>
        <w:t>.env</w:t>
      </w:r>
      <w:r>
        <w:t xml:space="preserve"> secret</w:t>
      </w:r>
    </w:p>
    <w:p>
      <w:r>
        <w:t>convention (never in a Claude Code prompt) — TBD</w:t>
      </w:r>
    </w:p>
    <w:p>
      <w:pPr>
        <w:pStyle w:val="ListBullet"/>
      </w:pPr>
      <w:r>
        <w:t>Module 3: behavior when the free-tier rate limit is hit — silent skip,</w:t>
      </w:r>
    </w:p>
    <w:p>
      <w:r>
        <w:t>cached last commentary, or a visible error state — TBD</w:t>
      </w:r>
    </w:p>
    <w:p>
      <w:pPr>
        <w:pStyle w:val="Heading1"/>
      </w:pPr>
      <w:r>
        <w:t>11. Known Issues / Technical Debt</w:t>
      </w:r>
    </w:p>
    <w:p>
      <w:pPr>
        <w:pStyle w:val="ListBullet"/>
      </w:pPr>
      <w:r>
        <w:t xml:space="preserve">Card identity has two known, unfixed asymmetries: </w:t>
      </w:r>
      <w:r>
        <w:rPr>
          <w:rFonts w:ascii="Consolas" w:hAnsi="Consolas"/>
          <w:sz w:val="19"/>
        </w:rPr>
        <w:t>create_card</w:t>
      </w:r>
      <w:r>
        <w:t>'s</w:t>
      </w:r>
    </w:p>
    <w:p>
      <w:r>
        <w:t xml:space="preserve">bank/card_type matching is case-sensitive, but bank dispatch is case-insensitive; and cards with a </w:t>
      </w:r>
      <w:r>
        <w:rPr>
          <w:rFonts w:ascii="Consolas" w:hAnsi="Consolas"/>
          <w:sz w:val="19"/>
        </w:rPr>
        <w:t>NULL</w:t>
      </w:r>
      <w:r>
        <w:t xml:space="preserve"> nickname can silently accumulate duplicates, since SQLite treats each </w:t>
      </w:r>
      <w:r>
        <w:rPr>
          <w:rFonts w:ascii="Consolas" w:hAnsi="Consolas"/>
          <w:sz w:val="19"/>
        </w:rPr>
        <w:t>NULL</w:t>
      </w:r>
      <w:r>
        <w:t xml:space="preserve"> as distinct.</w:t>
      </w:r>
    </w:p>
    <w:p>
      <w:pPr>
        <w:pStyle w:val="ListBullet"/>
      </w:pPr>
      <w:r>
        <w:rPr>
          <w:rFonts w:ascii="Consolas" w:hAnsi="Consolas"/>
          <w:sz w:val="19"/>
        </w:rPr>
        <w:t>list_cards()</w:t>
      </w:r>
      <w:r>
        <w:t xml:space="preserve"> orders by </w:t>
      </w:r>
      <w:r>
        <w:rPr>
          <w:rFonts w:ascii="Consolas" w:hAnsi="Consolas"/>
          <w:sz w:val="19"/>
        </w:rPr>
        <w:t>created_at</w:t>
      </w:r>
      <w:r>
        <w:t xml:space="preserve">; </w:t>
      </w:r>
      <w:r>
        <w:rPr>
          <w:rFonts w:ascii="Consolas" w:hAnsi="Consolas"/>
          <w:sz w:val="19"/>
        </w:rPr>
        <w:t>list_cards_with_statements()</w:t>
      </w:r>
    </w:p>
    <w:p>
      <w:r>
        <w:t xml:space="preserve">orders by </w:t>
      </w:r>
      <w:r>
        <w:rPr>
          <w:rFonts w:ascii="Consolas" w:hAnsi="Consolas"/>
          <w:sz w:val="19"/>
        </w:rPr>
        <w:t>id</w:t>
      </w:r>
      <w:r>
        <w:t xml:space="preserve"> ASC instead. In practice these agree, since SQLite's </w:t>
      </w:r>
      <w:r>
        <w:rPr>
          <w:rFonts w:ascii="Consolas" w:hAnsi="Consolas"/>
          <w:sz w:val="19"/>
        </w:rPr>
        <w:t>AUTOINCREMENT</w:t>
      </w:r>
      <w:r>
        <w:t xml:space="preserve"> id is assigned in insertion order, but it's a real (if inert) divergence between the two functions, not an accident.</w:t>
      </w:r>
    </w:p>
    <w:p>
      <w:pPr>
        <w:pStyle w:val="ListBullet"/>
      </w:pPr>
      <w:r>
        <w:rPr>
          <w:rFonts w:ascii="Consolas" w:hAnsi="Consolas"/>
          <w:sz w:val="19"/>
        </w:rPr>
        <w:t>list_card_types()</w:t>
      </w:r>
      <w:r>
        <w:t xml:space="preserve"> applies the same "only cards with a statement"</w:t>
      </w:r>
    </w:p>
    <w:p>
      <w:r>
        <w:t xml:space="preserve">filter as </w:t>
      </w:r>
      <w:r>
        <w:rPr>
          <w:rFonts w:ascii="Consolas" w:hAnsi="Consolas"/>
          <w:sz w:val="19"/>
        </w:rPr>
        <w:t>list_cards_with_statements()</w:t>
      </w:r>
      <w:r>
        <w:t xml:space="preserve"> but lives in a different module and returns bank/card-type pairs rather than full card rows — a second, deliberate asymmetry.</w:t>
      </w:r>
    </w:p>
    <w:p>
      <w:pPr>
        <w:pStyle w:val="ListBullet"/>
      </w:pPr>
      <w:r>
        <w:t xml:space="preserve">A </w:t>
      </w:r>
      <w:r>
        <w:rPr>
          <w:rFonts w:ascii="Consolas" w:hAnsi="Consolas"/>
          <w:sz w:val="19"/>
        </w:rPr>
        <w:t>StarletteDeprecationWarning</w:t>
      </w:r>
      <w:r>
        <w:t xml:space="preserve"> (</w:t>
      </w:r>
      <w:r>
        <w:rPr>
          <w:rFonts w:ascii="Consolas" w:hAnsi="Consolas"/>
          <w:sz w:val="19"/>
        </w:rPr>
        <w:t>httpx</w:t>
      </w:r>
      <w:r>
        <w:t xml:space="preserve"> with </w:t>
      </w:r>
      <w:r>
        <w:rPr>
          <w:rFonts w:ascii="Consolas" w:hAnsi="Consolas"/>
          <w:sz w:val="19"/>
        </w:rPr>
        <w:t>starlette.testclient</w:t>
      </w:r>
      <w:r>
        <w:t>)</w:t>
      </w:r>
    </w:p>
    <w:p>
      <w:r>
        <w:t>surfaced during Session 23's test run — unresolved, low-priority.</w:t>
      </w:r>
    </w:p>
    <w:p>
      <w:pPr>
        <w:pStyle w:val="ListBullet"/>
      </w:pPr>
      <w:r>
        <w:t>STATE.md and PRODUCT_VISION.md are both behind the DEVLOG on built</w:t>
      </w:r>
    </w:p>
    <w:p>
      <w:r>
        <w:t>status, as described in the Section 0 source-currency note. This is documentation debt, not code debt.</w:t>
      </w:r>
    </w:p>
    <w:p>
      <w:pPr>
        <w:pStyle w:val="Heading1"/>
      </w:pPr>
      <w:r>
        <w:t>12.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Version</w:t>
            </w:r>
          </w:p>
        </w:tc>
        <w:tc>
          <w:tcPr>
            <w:tcW w:type="dxa" w:w="2880"/>
          </w:tcPr>
          <w:p>
            <w:r>
              <w:rPr>
                <w:b/>
              </w:rPr>
            </w:r>
            <w:r>
              <w:rPr>
                <w:b/>
              </w:rPr>
              <w:t>Date</w:t>
            </w:r>
          </w:p>
        </w:tc>
        <w:tc>
          <w:tcPr>
            <w:tcW w:type="dxa" w:w="2880"/>
          </w:tcPr>
          <w:p>
            <w:r>
              <w:rPr>
                <w:b/>
              </w:rPr>
            </w:r>
            <w:r>
              <w:rPr>
                <w:b/>
              </w:rPr>
              <w:t>Change</w:t>
            </w:r>
          </w:p>
        </w:tc>
      </w:tr>
      <w:tr>
        <w:tc>
          <w:tcPr>
            <w:tcW w:type="dxa" w:w="2880"/>
          </w:tcPr>
          <w:p>
            <w:r/>
            <w:r>
              <w:t>1.0</w:t>
            </w:r>
          </w:p>
        </w:tc>
        <w:tc>
          <w:tcPr>
            <w:tcW w:type="dxa" w:w="2880"/>
          </w:tcPr>
          <w:p>
            <w:r/>
            <w:r>
              <w:t>08 Sep 2026</w:t>
            </w:r>
          </w:p>
        </w:tc>
        <w:tc>
          <w:tcPr>
            <w:tcW w:type="dxa" w:w="2880"/>
          </w:tcPr>
          <w:p>
            <w:r/>
            <w:r>
              <w:t>Initial consolidated PRD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