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UNIVERSITY OF HAWAIʻI    /    RESEARCH OPPORTUNITY  01  /  OʻAHU</w:t>
      </w:r>
    </w:p>
    <w:p>
      <w:pPr>
        <w:pStyle w:val="BigTitle"/>
      </w:pPr>
      <w:r>
        <w:t>Hawaiʻi Mesonet Field Technician</w:t>
      </w:r>
    </w:p>
    <w:p>
      <w:pPr>
        <w:pStyle w:val="Subline"/>
      </w:pPr>
      <w:r>
        <w:t>Official position: Sea Grant Hawaiʻi Mesonet Technician</w:t>
      </w:r>
    </w:p>
    <w:p>
      <w:pPr>
        <w:pStyle w:val="Hook"/>
      </w:pPr>
      <w:r>
        <w:t>Love field science, electronics, and solving technical problems in tough places? This might be your job.</w:t>
      </w:r>
    </w:p>
    <w:p>
      <w:pPr>
        <w:pStyle w:val="Kicker"/>
        <w:spacing w:after="160"/>
      </w:pPr>
      <w:r>
        <w:t>HONOLULU, OʻAHU     •     FULL-TIME     •     INTERISLAND FIELDWORK</w:t>
      </w:r>
    </w:p>
    <w:p>
      <w:pPr>
        <w:spacing w:after="340"/>
      </w:pPr>
      <w:r>
        <w:t>Help build and maintain a statewide network of research-grade weather stations. Your work keeps reliable weather observations flowing to researchers, forecasters, emergency managers, and communities across Hawaiʻi.</w:t>
      </w:r>
    </w:p>
    <w:tbl>
      <w:tblPr>
        <w:tblW w:type="auto" w:w="0"/>
        <w:jc w:val="center"/>
        <w:tblLayout w:type="fixed"/>
        <w:tblLook w:firstColumn="1" w:firstRow="1" w:lastColumn="0" w:lastRow="0" w:noHBand="0" w:noVBand="1" w:val="04A0"/>
      </w:tblPr>
      <w:tblGrid>
        <w:gridCol w:w="5155"/>
        <w:gridCol w:w="317"/>
        <w:gridCol w:w="4694"/>
      </w:tblGrid>
      <w:tr>
        <w:tc>
          <w:tcPr>
            <w:tcW w:type="dxa" w:w="5155"/>
            <w:tcMar>
              <w:top w:w="0" w:type="dxa"/>
              <w:start w:w="0" w:type="dxa"/>
              <w:bottom w:w="0" w:type="dxa"/>
              <w:end w:w="0" w:type="dxa"/>
            </w:tcMar>
            <w:vAlign w:val="top"/>
          </w:tcPr>
          <w:p>
            <w:pPr>
              <w:pStyle w:val="SectionHeader"/>
            </w:pPr>
            <w:r>
              <w:t>What you’ll do</w:t>
            </w:r>
          </w:p>
          <w:p>
            <w:pPr>
              <w:pStyle w:val="BulletBody"/>
              <w:spacing w:after="200"/>
              <w:ind w:left="202" w:hanging="202"/>
            </w:pPr>
            <w:r>
              <w:rPr>
                <w:color w:val="196967"/>
              </w:rPr>
              <w:t xml:space="preserve">•  </w:t>
            </w:r>
            <w:r>
              <w:rPr>
                <w:b/>
                <w:color w:val="162A33"/>
              </w:rPr>
              <w:t xml:space="preserve">Build the network and keep it running.  </w:t>
            </w:r>
            <w:r>
              <w:t>Install, maintain, calibrate, and repair weather sensors, dataloggers, power systems, and data telemetry. Keep an eye on station performance and diagnostics to spot problems when they happen.</w:t>
            </w:r>
          </w:p>
          <w:p>
            <w:pPr>
              <w:pStyle w:val="BulletBody"/>
              <w:spacing w:after="200"/>
              <w:ind w:left="202" w:hanging="202"/>
            </w:pPr>
            <w:r>
              <w:rPr>
                <w:color w:val="196967"/>
              </w:rPr>
              <w:t xml:space="preserve">•  </w:t>
            </w:r>
            <w:r>
              <w:rPr>
                <w:b/>
                <w:color w:val="162A33"/>
              </w:rPr>
              <w:t xml:space="preserve">Figure out what went wrong and fix it.  </w:t>
            </w:r>
            <w:r>
              <w:t>Troubleshoot erroneous sensor readings, communication failures, and missing data. Look at the data remotely, gather information, track down the root of the issue, and be ready to solve it in the field.</w:t>
            </w:r>
          </w:p>
          <w:p>
            <w:pPr>
              <w:pStyle w:val="BulletBody"/>
              <w:spacing w:after="200"/>
              <w:ind w:left="202" w:hanging="202"/>
            </w:pPr>
            <w:r>
              <w:rPr>
                <w:color w:val="196967"/>
              </w:rPr>
              <w:t xml:space="preserve">•  </w:t>
            </w:r>
            <w:r>
              <w:rPr>
                <w:b/>
                <w:color w:val="162A33"/>
              </w:rPr>
              <w:t xml:space="preserve">Make fieldwork happen and head to the outdoors.  </w:t>
            </w:r>
            <w:r>
              <w:t>Plan field trips, coordinate logistics and site access, and pack up your tools to visit stations in amazing places. Travel to other islands, drive on unpaved roads, ride in helicopters, climb towers, and hike in the Hawaiian mountains, rain or shine.</w:t>
            </w:r>
          </w:p>
          <w:p>
            <w:pPr>
              <w:pStyle w:val="BulletBody"/>
              <w:spacing w:after="200"/>
              <w:ind w:left="202" w:hanging="202"/>
            </w:pPr>
            <w:r>
              <w:rPr>
                <w:color w:val="196967"/>
              </w:rPr>
              <w:t xml:space="preserve">•  </w:t>
            </w:r>
            <w:r>
              <w:rPr>
                <w:b/>
                <w:color w:val="162A33"/>
              </w:rPr>
              <w:t xml:space="preserve">Keep things documented and organized.  </w:t>
            </w:r>
            <w:r>
              <w:t>Update station metadata, manage instrument inventory, track sensor calibration and maintenance schedules, and keep records of issues and station visits to help with data QAQC.</w:t>
            </w:r>
          </w:p>
          <w:p>
            <w:pPr>
              <w:pStyle w:val="BulletBody"/>
              <w:spacing w:after="200"/>
              <w:ind w:left="202" w:hanging="202"/>
            </w:pPr>
            <w:r>
              <w:rPr>
                <w:color w:val="196967"/>
              </w:rPr>
              <w:t xml:space="preserve">•  </w:t>
            </w:r>
            <w:r>
              <w:rPr>
                <w:b/>
                <w:color w:val="162A33"/>
              </w:rPr>
              <w:t xml:space="preserve">Make the network better.  </w:t>
            </w:r>
            <w:r>
              <w:t>Work with the team on datalogger programs, equipment improvements and automated data quality checks.</w:t>
            </w:r>
          </w:p>
        </w:tc>
        <w:tc>
          <w:tcPr>
            <w:tcW w:type="dxa" w:w="317"/>
            <w:tcMar>
              <w:top w:w="0" w:type="dxa"/>
              <w:start w:w="0" w:type="dxa"/>
              <w:bottom w:w="0" w:type="dxa"/>
              <w:end w:w="0" w:type="dxa"/>
            </w:tcMar>
            <w:vAlign w:val="top"/>
          </w:tcPr>
          <w:p/>
        </w:tc>
        <w:tc>
          <w:tcPr>
            <w:tcW w:type="dxa" w:w="4694"/>
            <w:tcMar>
              <w:top w:w="0" w:type="dxa"/>
              <w:start w:w="0" w:type="dxa"/>
              <w:bottom w:w="0" w:type="dxa"/>
              <w:end w:w="0" w:type="dxa"/>
            </w:tcMar>
            <w:vAlign w:val="top"/>
          </w:tcPr>
          <w:p>
            <w:pPr>
              <w:pStyle w:val="SectionHeader"/>
            </w:pPr>
            <w:r>
              <w:t>What you bring</w:t>
            </w:r>
          </w:p>
          <w:p>
            <w:pPr>
              <w:pStyle w:val="BulletBody"/>
              <w:spacing w:after="200"/>
              <w:ind w:left="202" w:hanging="202"/>
            </w:pPr>
            <w:r>
              <w:rPr>
                <w:color w:val="196967"/>
              </w:rPr>
              <w:t xml:space="preserve">•  </w:t>
            </w:r>
            <w:r>
              <w:rPr>
                <w:b/>
                <w:color w:val="162A33"/>
              </w:rPr>
              <w:t xml:space="preserve">Education and experience.  </w:t>
            </w:r>
            <w:r>
              <w:t>A bachelor’s degree in atmospheric, environmental, natural-resource or geographic science, engineering, or related field, plus 1–3 years of relevant field experience.</w:t>
            </w:r>
          </w:p>
          <w:p>
            <w:pPr>
              <w:pStyle w:val="BulletBody"/>
              <w:spacing w:after="200"/>
              <w:ind w:left="202" w:hanging="202"/>
            </w:pPr>
            <w:r>
              <w:rPr>
                <w:color w:val="196967"/>
              </w:rPr>
              <w:t xml:space="preserve">•  </w:t>
            </w:r>
            <w:r>
              <w:rPr>
                <w:b/>
                <w:color w:val="162A33"/>
              </w:rPr>
              <w:t xml:space="preserve">Hands-on aptitude.  </w:t>
            </w:r>
            <w:r>
              <w:t>Comfort with tools, hardware, electronics, computer software, and basic analysis and quality assessment of environmental data. Ability to learn instrument programming software.</w:t>
            </w:r>
          </w:p>
          <w:p>
            <w:pPr>
              <w:pStyle w:val="BulletBody"/>
              <w:spacing w:after="200"/>
              <w:ind w:left="202" w:hanging="202"/>
            </w:pPr>
            <w:r>
              <w:rPr>
                <w:color w:val="196967"/>
              </w:rPr>
              <w:t xml:space="preserve">•  </w:t>
            </w:r>
            <w:r>
              <w:rPr>
                <w:b/>
                <w:color w:val="162A33"/>
              </w:rPr>
              <w:t xml:space="preserve">Good field judgment.  </w:t>
            </w:r>
            <w:r>
              <w:t>Ability to work independently, communicate clearly, and operate a manual-transmission 4WD vehicle on rough roads; valid driver’s license required.</w:t>
            </w:r>
          </w:p>
          <w:p>
            <w:pPr>
              <w:pStyle w:val="BulletBody"/>
              <w:spacing w:after="200"/>
              <w:ind w:left="202" w:hanging="202"/>
            </w:pPr>
            <w:r>
              <w:rPr>
                <w:color w:val="196967"/>
              </w:rPr>
              <w:t xml:space="preserve">•  </w:t>
            </w:r>
            <w:r>
              <w:rPr>
                <w:b/>
                <w:color w:val="162A33"/>
              </w:rPr>
              <w:t xml:space="preserve">Especially useful.  </w:t>
            </w:r>
            <w:r>
              <w:t>Campbell Scientific/CRBasic, sensor wiring, solar/telemetry, coding, graduate training, rugged deployments, or student mentoring.</w:t>
            </w:r>
          </w:p>
        </w:tc>
      </w:tr>
    </w:tbl>
    <w:p>
      <w:pPr>
        <w:pStyle w:val="Small"/>
        <w:spacing w:after="160" w:before="280"/>
      </w:pPr>
      <w:r>
        <w:t>Field conditions: Frequent interisland and overnight travel, hiking on uneven terrain, lifting up to 50 lb, tower/ladder work up to ~100 ft, helicopter access, and occasional camping.</w:t>
      </w:r>
    </w:p>
    <w:p>
      <w:pPr>
        <w:pStyle w:val="Small"/>
        <w:spacing w:after="260"/>
      </w:pPr>
      <w:r>
        <w:t>RCUH limited-term position (up to 12 months). Draft monthly salary: $5,300–$6,500. Continued employment and any future appointment depend on applicable approvals, needs, and funding.</w:t>
      </w:r>
    </w:p>
    <w:p>
      <w:pPr>
        <w:pStyle w:val="FooterLabel"/>
        <w:spacing w:after="80"/>
      </w:pPr>
      <w:r>
        <w:t>Apply / ask</w:t>
      </w:r>
    </w:p>
    <w:p>
      <w:pPr>
        <w:pStyle w:val="FooterBody"/>
        <w:spacing w:after="40"/>
      </w:pPr>
      <w:r>
        <w:t>Apply through rcuh.com/opportunities/job-openings/ when the position is posted. The official listing sets the deadline and requires a cover letter, résumé, references, and degree/transcript documentation. Questions: Dr. Thomas Giambelluca, thomas@hawaii.edu.</w:t>
      </w:r>
    </w:p>
    <w:p>
      <w:pPr>
        <w:pStyle w:val="FinePrint"/>
        <w:spacing w:before="120"/>
      </w:pPr>
      <w:r>
        <w:t>Recruitment summary of the October 20, 2026 RCUH position draft (Position No. 00051699). The published RCUH announcement governs employment terms and eligibility.</w:t>
      </w:r>
    </w:p>
    <w:sectPr w:rsidR="00FC693F" w:rsidRPr="0006063C" w:rsidSect="00034616">
      <w:pgSz w:w="12240" w:h="15840"/>
      <w:pgMar w:top="950" w:right="1037" w:bottom="922" w:left="1037"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1" w:lineRule="auto"/>
    </w:pPr>
    <w:rPr>
      <w:rFonts w:ascii="Lato" w:hAnsi="Lato"/>
      <w:color w:val="1E2A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keepLines/>
      <w:widowControl/>
      <w:spacing w:after="140"/>
    </w:pPr>
    <w:rPr>
      <w:rFonts w:ascii="Lato" w:hAnsi="Lato"/>
      <w:b/>
      <w:color w:val="196967"/>
      <w:sz w:val="16"/>
    </w:rPr>
  </w:style>
  <w:style w:type="paragraph" w:customStyle="1" w:styleId="BigTitle">
    <w:name w:val="BigTitle"/>
    <w:basedOn w:val="Normal"/>
    <w:pPr>
      <w:keepLines/>
      <w:widowControl/>
      <w:spacing w:after="80"/>
    </w:pPr>
    <w:rPr>
      <w:rFonts w:ascii="Lato" w:hAnsi="Lato"/>
      <w:b/>
      <w:color w:val="162A33"/>
      <w:sz w:val="42"/>
    </w:rPr>
  </w:style>
  <w:style w:type="paragraph" w:customStyle="1" w:styleId="Subline">
    <w:name w:val="Subline"/>
    <w:basedOn w:val="Normal"/>
    <w:pPr>
      <w:keepLines/>
      <w:widowControl/>
      <w:spacing w:after="220"/>
    </w:pPr>
    <w:rPr>
      <w:rFonts w:ascii="Lato" w:hAnsi="Lato"/>
      <w:b/>
      <w:color w:val="4E5F64"/>
      <w:sz w:val="18"/>
    </w:rPr>
  </w:style>
  <w:style w:type="paragraph" w:customStyle="1" w:styleId="Hook">
    <w:name w:val="Hook"/>
    <w:basedOn w:val="Normal"/>
    <w:pPr>
      <w:keepLines/>
      <w:widowControl/>
      <w:spacing w:after="180"/>
    </w:pPr>
    <w:rPr>
      <w:rFonts w:ascii="Lato" w:hAnsi="Lato"/>
      <w:b w:val="0"/>
      <w:color w:val="162A33"/>
      <w:sz w:val="22"/>
    </w:rPr>
  </w:style>
  <w:style w:type="paragraph" w:customStyle="1" w:styleId="SectionHeader">
    <w:name w:val="SectionHeader"/>
    <w:basedOn w:val="Normal"/>
    <w:pPr>
      <w:keepLines/>
      <w:widowControl/>
      <w:spacing w:after="180"/>
    </w:pPr>
    <w:rPr>
      <w:rFonts w:ascii="Lato" w:hAnsi="Lato"/>
      <w:b/>
      <w:color w:val="196967"/>
      <w:sz w:val="22"/>
    </w:rPr>
  </w:style>
  <w:style w:type="paragraph" w:customStyle="1" w:styleId="BulletBody">
    <w:name w:val="BulletBody"/>
    <w:basedOn w:val="Normal"/>
    <w:pPr>
      <w:keepLines/>
      <w:widowControl/>
      <w:spacing w:after="200"/>
    </w:pPr>
    <w:rPr>
      <w:rFonts w:ascii="Lato" w:hAnsi="Lato"/>
      <w:b w:val="0"/>
      <w:color w:val="1E2A2D"/>
      <w:sz w:val="19"/>
    </w:rPr>
  </w:style>
  <w:style w:type="paragraph" w:customStyle="1" w:styleId="Small">
    <w:name w:val="Small"/>
    <w:basedOn w:val="Normal"/>
    <w:pPr>
      <w:keepLines/>
      <w:widowControl/>
    </w:pPr>
    <w:rPr>
      <w:rFonts w:ascii="Lato" w:hAnsi="Lato"/>
      <w:b w:val="0"/>
      <w:color w:val="4E5F64"/>
      <w:sz w:val="16"/>
    </w:rPr>
  </w:style>
  <w:style w:type="paragraph" w:customStyle="1" w:styleId="FooterLabel">
    <w:name w:val="FooterLabel"/>
    <w:basedOn w:val="Normal"/>
    <w:pPr>
      <w:keepLines/>
      <w:widowControl/>
      <w:spacing w:after="80"/>
    </w:pPr>
    <w:rPr>
      <w:rFonts w:ascii="Lato" w:hAnsi="Lato"/>
      <w:b/>
      <w:color w:val="162A33"/>
      <w:sz w:val="20"/>
    </w:rPr>
  </w:style>
  <w:style w:type="paragraph" w:customStyle="1" w:styleId="FooterBody">
    <w:name w:val="FooterBody"/>
    <w:basedOn w:val="Normal"/>
    <w:pPr>
      <w:keepLines/>
      <w:widowControl/>
      <w:spacing w:after="120"/>
    </w:pPr>
    <w:rPr>
      <w:rFonts w:ascii="Lato" w:hAnsi="Lato"/>
      <w:b w:val="0"/>
      <w:color w:val="1E2A2D"/>
      <w:sz w:val="18"/>
    </w:rPr>
  </w:style>
  <w:style w:type="paragraph" w:customStyle="1" w:styleId="FinePrint">
    <w:name w:val="FinePrint"/>
    <w:basedOn w:val="Normal"/>
    <w:pPr>
      <w:keepLines/>
      <w:widowControl/>
      <w:spacing w:before="220"/>
    </w:pPr>
    <w:rPr>
      <w:rFonts w:ascii="Lato" w:hAnsi="Lato"/>
      <w:b w:val="0"/>
      <w:color w:val="4E5F6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