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UNIVERSITY OF HAWAIʻI    /    RESEARCH OPPORTUNITY  02  /  MAUI</w:t>
      </w:r>
    </w:p>
    <w:p>
      <w:pPr>
        <w:pStyle w:val="BigTitle"/>
      </w:pPr>
      <w:r>
        <w:t>Postdoctoral Researcher</w:t>
      </w:r>
    </w:p>
    <w:p>
      <w:pPr>
        <w:pStyle w:val="Subline"/>
      </w:pPr>
      <w:r>
        <w:t>Hydrology  /  Field instrumentation  /  AI-enabled monitoring</w:t>
      </w:r>
    </w:p>
    <w:p>
      <w:pPr>
        <w:pStyle w:val="Hook"/>
      </w:pPr>
      <w:r>
        <w:t>A research job for someone equally comfortable writing Python and wiring a datalogger.</w:t>
      </w:r>
    </w:p>
    <w:p>
      <w:pPr>
        <w:pStyle w:val="Kicker"/>
        <w:spacing w:after="160"/>
      </w:pPr>
      <w:r>
        <w:t>MAUI, HAWAIʻI     •     50% MESONET     /     50% RESEARCH</w:t>
      </w:r>
    </w:p>
    <w:p>
      <w:pPr>
        <w:spacing w:after="340"/>
      </w:pPr>
      <w:r>
        <w:t>This is an unusual blend of rigorous research and real-world field engineering. Spend half your time helping operate the Hawaiʻi Mesonet and half developing new ways to observe streams, water resources, and environmental hazards.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317"/>
        <w:gridCol w:w="4694"/>
      </w:tblGrid>
      <w:tr>
        <w:tc>
          <w:tcPr>
            <w:tcW w:type="dxa" w:w="515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SectionHeader"/>
            </w:pPr>
            <w:r>
              <w:t>What you’ll do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50% · Hawaiʻi Mesonet.  </w:t>
            </w:r>
            <w:r>
              <w:t>Install, maintain, and troubleshoot remote weather stations, sensors, solar power, telecommunications, and Campbell Scientific dataloggers.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Make measurements trustworthy.  </w:t>
            </w:r>
            <w:r>
              <w:t>Improve station programs, investigate data-quality issues, and help solve hardware/software problems in the field.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50% · Hydrologic research.  </w:t>
            </w:r>
            <w:r>
              <w:t>Develop and test AI-assisted hazard monitoring, edge-camera systems, and image-based approaches to stream stage and streamflow.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Build new science.  </w:t>
            </w:r>
            <w:r>
              <w:t>Integrate imagery and hydrologic sensor data, evaluate reliability and uncertainty, write research code, publish findings, and collaborate with partners.</w:t>
            </w:r>
          </w:p>
        </w:tc>
        <w:tc>
          <w:tcPr>
            <w:tcW w:type="dxa" w:w="317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/>
        </w:tc>
        <w:tc>
          <w:tcPr>
            <w:tcW w:type="dxa" w:w="469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SectionHeader"/>
            </w:pPr>
            <w:r>
              <w:t>What you bring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Research training.  </w:t>
            </w:r>
            <w:r>
              <w:t>A PhD in hydrology, water resources, environmental or civil engineering, geoscience, atmospheric science, or a closely related technical field.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Code + science.  </w:t>
            </w:r>
            <w:r>
              <w:t>Strong quantitative skills, especially Python/data analysis, plus the curiosity and independence to design and publish research.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Real instrumentation skills.  </w:t>
            </w:r>
            <w:r>
              <w:t>Experience programming or troubleshooting dataloggers and environmental sensors; Campbell Scientific/CRBasic experience is especially valuable.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Especially useful.  </w:t>
            </w:r>
            <w:r>
              <w:t>Computer vision, machine learning, edge computing, cameras, GIS, telemetry, stream gauging, and designing field experiments.</w:t>
            </w:r>
          </w:p>
        </w:tc>
      </w:tr>
    </w:tbl>
    <w:p>
      <w:pPr>
        <w:pStyle w:val="Small"/>
        <w:spacing w:after="160" w:before="280"/>
      </w:pPr>
      <w:r>
        <w:t>The right fit enjoys remote fieldwork and practical problem-solving as much as computational research. You do not need to arrive an expert in every AI or sensor technology.</w:t>
      </w:r>
    </w:p>
    <w:p>
      <w:pPr>
        <w:pStyle w:val="Small"/>
        <w:spacing w:after="260"/>
      </w:pPr>
      <w:r>
        <w:t>Expect meaningful time for research, developing new methods, and publishing results alongside hands-on field instrumentation. Salary, appointment term, and formal requirements are being finalized.</w:t>
      </w:r>
    </w:p>
    <w:p>
      <w:pPr>
        <w:pStyle w:val="FooterLabel"/>
        <w:spacing w:after="80"/>
      </w:pPr>
      <w:r>
        <w:t>Interested?</w:t>
      </w:r>
    </w:p>
    <w:p>
      <w:pPr>
        <w:pStyle w:val="FooterBody"/>
        <w:spacing w:after="40"/>
      </w:pPr>
      <w:r>
        <w:t>Contact Chris Shuler at cshuler@hawaii.edu with a brief introduction, your CV, and a few lines about your research and field instrumentation experience. Formal application details will follow.</w:t>
      </w:r>
    </w:p>
    <w:p>
      <w:pPr>
        <w:pStyle w:val="FinePrint"/>
        <w:spacing w:before="120"/>
      </w:pPr>
      <w:r>
        <w:t>Public-facing research-role concept based on the 50/50 staffing plan. Final duties, qualifications, funding, and appointment terms require confirmation before official recruitment.</w:t>
      </w:r>
    </w:p>
    <w:sectPr w:rsidR="00FC693F" w:rsidRPr="0006063C" w:rsidSect="00034616">
      <w:pgSz w:w="12240" w:h="15840"/>
      <w:pgMar w:top="950" w:right="1037" w:bottom="922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Lato" w:hAnsi="Lato"/>
      <w:color w:val="1E2A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basedOn w:val="Normal"/>
    <w:pPr>
      <w:keepLines/>
      <w:widowControl/>
      <w:spacing w:after="140"/>
    </w:pPr>
    <w:rPr>
      <w:rFonts w:ascii="Lato" w:hAnsi="Lato"/>
      <w:b/>
      <w:color w:val="196967"/>
      <w:sz w:val="16"/>
    </w:rPr>
  </w:style>
  <w:style w:type="paragraph" w:customStyle="1" w:styleId="BigTitle">
    <w:name w:val="BigTitle"/>
    <w:basedOn w:val="Normal"/>
    <w:pPr>
      <w:keepLines/>
      <w:widowControl/>
      <w:spacing w:after="80"/>
    </w:pPr>
    <w:rPr>
      <w:rFonts w:ascii="Lato" w:hAnsi="Lato"/>
      <w:b/>
      <w:color w:val="162A33"/>
      <w:sz w:val="42"/>
    </w:rPr>
  </w:style>
  <w:style w:type="paragraph" w:customStyle="1" w:styleId="Subline">
    <w:name w:val="Subline"/>
    <w:basedOn w:val="Normal"/>
    <w:pPr>
      <w:keepLines/>
      <w:widowControl/>
      <w:spacing w:after="220"/>
    </w:pPr>
    <w:rPr>
      <w:rFonts w:ascii="Lato" w:hAnsi="Lato"/>
      <w:b/>
      <w:color w:val="4E5F64"/>
      <w:sz w:val="18"/>
    </w:rPr>
  </w:style>
  <w:style w:type="paragraph" w:customStyle="1" w:styleId="Hook">
    <w:name w:val="Hook"/>
    <w:basedOn w:val="Normal"/>
    <w:pPr>
      <w:keepLines/>
      <w:widowControl/>
      <w:spacing w:after="180"/>
    </w:pPr>
    <w:rPr>
      <w:rFonts w:ascii="Lato" w:hAnsi="Lato"/>
      <w:b w:val="0"/>
      <w:color w:val="162A33"/>
      <w:sz w:val="22"/>
    </w:rPr>
  </w:style>
  <w:style w:type="paragraph" w:customStyle="1" w:styleId="SectionHeader">
    <w:name w:val="SectionHeader"/>
    <w:basedOn w:val="Normal"/>
    <w:pPr>
      <w:keepLines/>
      <w:widowControl/>
      <w:spacing w:after="180"/>
    </w:pPr>
    <w:rPr>
      <w:rFonts w:ascii="Lato" w:hAnsi="Lato"/>
      <w:b/>
      <w:color w:val="196967"/>
      <w:sz w:val="22"/>
    </w:rPr>
  </w:style>
  <w:style w:type="paragraph" w:customStyle="1" w:styleId="BulletBody">
    <w:name w:val="BulletBody"/>
    <w:basedOn w:val="Normal"/>
    <w:pPr>
      <w:keepLines/>
      <w:widowControl/>
      <w:spacing w:after="200"/>
    </w:pPr>
    <w:rPr>
      <w:rFonts w:ascii="Lato" w:hAnsi="Lato"/>
      <w:b w:val="0"/>
      <w:color w:val="1E2A2D"/>
      <w:sz w:val="19"/>
    </w:rPr>
  </w:style>
  <w:style w:type="paragraph" w:customStyle="1" w:styleId="Small">
    <w:name w:val="Small"/>
    <w:basedOn w:val="Normal"/>
    <w:pPr>
      <w:keepLines/>
      <w:widowControl/>
    </w:pPr>
    <w:rPr>
      <w:rFonts w:ascii="Lato" w:hAnsi="Lato"/>
      <w:b w:val="0"/>
      <w:color w:val="4E5F64"/>
      <w:sz w:val="16"/>
    </w:rPr>
  </w:style>
  <w:style w:type="paragraph" w:customStyle="1" w:styleId="FooterLabel">
    <w:name w:val="FooterLabel"/>
    <w:basedOn w:val="Normal"/>
    <w:pPr>
      <w:keepLines/>
      <w:widowControl/>
      <w:spacing w:after="80"/>
    </w:pPr>
    <w:rPr>
      <w:rFonts w:ascii="Lato" w:hAnsi="Lato"/>
      <w:b/>
      <w:color w:val="162A33"/>
      <w:sz w:val="20"/>
    </w:rPr>
  </w:style>
  <w:style w:type="paragraph" w:customStyle="1" w:styleId="FooterBody">
    <w:name w:val="FooterBody"/>
    <w:basedOn w:val="Normal"/>
    <w:pPr>
      <w:keepLines/>
      <w:widowControl/>
      <w:spacing w:after="120"/>
    </w:pPr>
    <w:rPr>
      <w:rFonts w:ascii="Lato" w:hAnsi="Lato"/>
      <w:b w:val="0"/>
      <w:color w:val="1E2A2D"/>
      <w:sz w:val="18"/>
    </w:rPr>
  </w:style>
  <w:style w:type="paragraph" w:customStyle="1" w:styleId="FinePrint">
    <w:name w:val="FinePrint"/>
    <w:basedOn w:val="Normal"/>
    <w:pPr>
      <w:keepLines/>
      <w:widowControl/>
      <w:spacing w:before="220"/>
    </w:pPr>
    <w:rPr>
      <w:rFonts w:ascii="Lato" w:hAnsi="Lato"/>
      <w:b w:val="0"/>
      <w:color w:val="4E5F64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