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</w:pPr>
      <w:r>
        <w:t>UNIVERSITY OF HAWAIʻI    /    RESEARCH OPPORTUNITY  01  /  OʻAHU</w:t>
      </w:r>
    </w:p>
    <w:p>
      <w:pPr>
        <w:pStyle w:val="BigTitle"/>
      </w:pPr>
      <w:r>
        <w:t>Hawaiʻi Mesonet Field Technician</w:t>
      </w:r>
    </w:p>
    <w:p>
      <w:pPr>
        <w:pStyle w:val="Subline"/>
      </w:pPr>
      <w:r>
        <w:t>Official position: Sea Grant Hawaiʻi Mesonet Technician</w:t>
      </w:r>
    </w:p>
    <w:p>
      <w:pPr>
        <w:pStyle w:val="Hook"/>
      </w:pPr>
      <w:r>
        <w:t>Love field science, electronics, and solving technical problems in tough places? This might be your job.</w:t>
      </w:r>
    </w:p>
    <w:p>
      <w:pPr>
        <w:pStyle w:val="Kicker"/>
        <w:spacing w:after="160"/>
      </w:pPr>
      <w:r>
        <w:t>HONOLULU, OʻAHU     •     FULL-TIME     •     INTERISLAND FIELDWORK</w:t>
      </w:r>
    </w:p>
    <w:p>
      <w:pPr>
        <w:spacing w:after="340"/>
      </w:pPr>
      <w:r>
        <w:t>Help build and maintain a statewide network of research-grade weather stations. Your work keeps reliable weather observations flowing to researchers, forecasters, emergency managers, and communities across Hawaiʻi.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5"/>
        <w:gridCol w:w="317"/>
        <w:gridCol w:w="4694"/>
      </w:tblGrid>
      <w:tr>
        <w:tc>
          <w:tcPr>
            <w:tcW w:type="dxa" w:w="5155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pStyle w:val="SectionHeader"/>
            </w:pPr>
            <w:r>
              <w:t>What you’ll do</w:t>
            </w:r>
          </w:p>
          <w:p>
            <w:pPr>
              <w:pStyle w:val="BulletBody"/>
              <w:spacing w:after="200"/>
              <w:ind w:left="202" w:hanging="202"/>
            </w:pPr>
            <w:r>
              <w:rPr>
                <w:color w:val="196967"/>
              </w:rPr>
              <w:t xml:space="preserve">•  </w:t>
            </w:r>
            <w:r>
              <w:rPr>
                <w:b/>
                <w:color w:val="162A33"/>
              </w:rPr>
              <w:t xml:space="preserve">Keep stations running.  </w:t>
            </w:r>
            <w:r>
              <w:t>Install, maintain, calibrate, and repair weather sensors, dataloggers, solar power systems, and cellular communications.</w:t>
            </w:r>
          </w:p>
          <w:p>
            <w:pPr>
              <w:pStyle w:val="BulletBody"/>
              <w:spacing w:after="200"/>
              <w:ind w:left="202" w:hanging="202"/>
            </w:pPr>
            <w:r>
              <w:rPr>
                <w:color w:val="196967"/>
              </w:rPr>
              <w:t xml:space="preserve">•  </w:t>
            </w:r>
            <w:r>
              <w:rPr>
                <w:b/>
                <w:color w:val="162A33"/>
              </w:rPr>
              <w:t xml:space="preserve">Figure out what went wrong.  </w:t>
            </w:r>
            <w:r>
              <w:t>Use live observations and site visits to diagnose failed sensors, power problems, communications outages, and data gaps.</w:t>
            </w:r>
          </w:p>
          <w:p>
            <w:pPr>
              <w:pStyle w:val="BulletBody"/>
              <w:spacing w:after="200"/>
              <w:ind w:left="202" w:hanging="202"/>
            </w:pPr>
            <w:r>
              <w:rPr>
                <w:color w:val="196967"/>
              </w:rPr>
              <w:t xml:space="preserve">•  </w:t>
            </w:r>
            <w:r>
              <w:rPr>
                <w:b/>
                <w:color w:val="162A33"/>
              </w:rPr>
              <w:t xml:space="preserve">Make the network better.  </w:t>
            </w:r>
            <w:r>
              <w:t>Maintain station programs, test hardware improvements, and support automated data-quality checks.</w:t>
            </w:r>
          </w:p>
          <w:p>
            <w:pPr>
              <w:pStyle w:val="BulletBody"/>
              <w:spacing w:after="200"/>
              <w:ind w:left="202" w:hanging="202"/>
            </w:pPr>
            <w:r>
              <w:rPr>
                <w:color w:val="196967"/>
              </w:rPr>
              <w:t xml:space="preserve">•  </w:t>
            </w:r>
            <w:r>
              <w:rPr>
                <w:b/>
                <w:color w:val="162A33"/>
              </w:rPr>
              <w:t xml:space="preserve">Make fieldwork happen.  </w:t>
            </w:r>
            <w:r>
              <w:t>Plan trips, track equipment and calibration records, work with site hosts on access and permits, and train student helpers.</w:t>
            </w:r>
          </w:p>
        </w:tc>
        <w:tc>
          <w:tcPr>
            <w:tcW w:type="dxa" w:w="317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/>
        </w:tc>
        <w:tc>
          <w:tcPr>
            <w:tcW w:type="dxa" w:w="469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pStyle w:val="SectionHeader"/>
            </w:pPr>
            <w:r>
              <w:t>What you bring</w:t>
            </w:r>
          </w:p>
          <w:p>
            <w:pPr>
              <w:pStyle w:val="BulletBody"/>
              <w:spacing w:after="200"/>
              <w:ind w:left="202" w:hanging="202"/>
            </w:pPr>
            <w:r>
              <w:rPr>
                <w:color w:val="196967"/>
              </w:rPr>
              <w:t xml:space="preserve">•  </w:t>
            </w:r>
            <w:r>
              <w:rPr>
                <w:b/>
                <w:color w:val="162A33"/>
              </w:rPr>
              <w:t xml:space="preserve">Education and experience.  </w:t>
            </w:r>
            <w:r>
              <w:t>A bachelor’s degree in atmospheric, environmental, natural-resource or geographic science, engineering, or related field, plus 1–3 years of relevant field experience.</w:t>
            </w:r>
          </w:p>
          <w:p>
            <w:pPr>
              <w:pStyle w:val="BulletBody"/>
              <w:spacing w:after="200"/>
              <w:ind w:left="202" w:hanging="202"/>
            </w:pPr>
            <w:r>
              <w:rPr>
                <w:color w:val="196967"/>
              </w:rPr>
              <w:t xml:space="preserve">•  </w:t>
            </w:r>
            <w:r>
              <w:rPr>
                <w:b/>
                <w:color w:val="162A33"/>
              </w:rPr>
              <w:t xml:space="preserve">Hands-on aptitude.  </w:t>
            </w:r>
            <w:r>
              <w:t>Comfort with tools, practical repairs, computers, environmental time-series data, and learning instrument programming software.</w:t>
            </w:r>
          </w:p>
          <w:p>
            <w:pPr>
              <w:pStyle w:val="BulletBody"/>
              <w:spacing w:after="200"/>
              <w:ind w:left="202" w:hanging="202"/>
            </w:pPr>
            <w:r>
              <w:rPr>
                <w:color w:val="196967"/>
              </w:rPr>
              <w:t xml:space="preserve">•  </w:t>
            </w:r>
            <w:r>
              <w:rPr>
                <w:b/>
                <w:color w:val="162A33"/>
              </w:rPr>
              <w:t xml:space="preserve">Good field judgment.  </w:t>
            </w:r>
            <w:r>
              <w:t>Ability to work independently, communicate clearly, and operate a manual-transmission 4WD vehicle on rough roads; valid driver’s license required.</w:t>
            </w:r>
          </w:p>
          <w:p>
            <w:pPr>
              <w:pStyle w:val="BulletBody"/>
              <w:spacing w:after="200"/>
              <w:ind w:left="202" w:hanging="202"/>
            </w:pPr>
            <w:r>
              <w:rPr>
                <w:color w:val="196967"/>
              </w:rPr>
              <w:t xml:space="preserve">•  </w:t>
            </w:r>
            <w:r>
              <w:rPr>
                <w:b/>
                <w:color w:val="162A33"/>
              </w:rPr>
              <w:t xml:space="preserve">Especially useful.  </w:t>
            </w:r>
            <w:r>
              <w:t>Campbell Scientific/CRBasic, sensor wiring, solar/telemetry, coding, graduate training, rugged deployments, or student mentoring.</w:t>
            </w:r>
          </w:p>
        </w:tc>
      </w:tr>
    </w:tbl>
    <w:p>
      <w:pPr>
        <w:pStyle w:val="Small"/>
        <w:spacing w:after="160" w:before="280"/>
      </w:pPr>
      <w:r>
        <w:t>Field conditions: Frequent interisland and overnight travel, hiking on uneven terrain, lifting up to 50 lb, tower/ladder work up to ~100 ft, helicopter access, and occasional camping.</w:t>
      </w:r>
    </w:p>
    <w:p>
      <w:pPr>
        <w:pStyle w:val="Small"/>
        <w:spacing w:after="260"/>
      </w:pPr>
      <w:r>
        <w:t>RCUH limited-term position (up to 12 months). Draft monthly salary: $5,300–$6,500. Continued employment and any future appointment depend on applicable approvals, needs, and funding.</w:t>
      </w:r>
    </w:p>
    <w:p>
      <w:pPr>
        <w:pStyle w:val="FooterLabel"/>
        <w:spacing w:after="80"/>
      </w:pPr>
      <w:r>
        <w:t>Apply / ask</w:t>
      </w:r>
    </w:p>
    <w:p>
      <w:pPr>
        <w:pStyle w:val="FooterBody"/>
        <w:spacing w:after="40"/>
      </w:pPr>
      <w:r>
        <w:t>Apply through rcuh.com/opportunities/job-openings/ when the position is posted. The official listing sets the deadline and requires a cover letter, résumé, references, and degree/transcript documentation. Questions: Dr. Thomas Giambelluca, thomas@hawaii.edu.</w:t>
      </w:r>
    </w:p>
    <w:p>
      <w:pPr>
        <w:pStyle w:val="FinePrint"/>
        <w:spacing w:before="120"/>
      </w:pPr>
      <w:r>
        <w:t>Recruitment summary of the October 20, 2026 RCUH position draft (Position No. 00051699). The published RCUH announcement governs employment terms and eligibility.</w:t>
      </w:r>
    </w:p>
    <w:sectPr w:rsidR="00FC693F" w:rsidRPr="0006063C" w:rsidSect="00034616">
      <w:pgSz w:w="12240" w:h="15840"/>
      <w:pgMar w:top="950" w:right="1037" w:bottom="922" w:left="1037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1" w:lineRule="auto"/>
    </w:pPr>
    <w:rPr>
      <w:rFonts w:ascii="Lato" w:hAnsi="Lato"/>
      <w:color w:val="1E2A2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basedOn w:val="Normal"/>
    <w:pPr>
      <w:keepLines/>
      <w:widowControl/>
      <w:spacing w:after="140"/>
    </w:pPr>
    <w:rPr>
      <w:rFonts w:ascii="Lato" w:hAnsi="Lato"/>
      <w:b/>
      <w:color w:val="196967"/>
      <w:sz w:val="16"/>
    </w:rPr>
  </w:style>
  <w:style w:type="paragraph" w:customStyle="1" w:styleId="BigTitle">
    <w:name w:val="BigTitle"/>
    <w:basedOn w:val="Normal"/>
    <w:pPr>
      <w:keepLines/>
      <w:widowControl/>
      <w:spacing w:after="80"/>
    </w:pPr>
    <w:rPr>
      <w:rFonts w:ascii="Lato" w:hAnsi="Lato"/>
      <w:b/>
      <w:color w:val="162A33"/>
      <w:sz w:val="42"/>
    </w:rPr>
  </w:style>
  <w:style w:type="paragraph" w:customStyle="1" w:styleId="Subline">
    <w:name w:val="Subline"/>
    <w:basedOn w:val="Normal"/>
    <w:pPr>
      <w:keepLines/>
      <w:widowControl/>
      <w:spacing w:after="220"/>
    </w:pPr>
    <w:rPr>
      <w:rFonts w:ascii="Lato" w:hAnsi="Lato"/>
      <w:b/>
      <w:color w:val="4E5F64"/>
      <w:sz w:val="18"/>
    </w:rPr>
  </w:style>
  <w:style w:type="paragraph" w:customStyle="1" w:styleId="Hook">
    <w:name w:val="Hook"/>
    <w:basedOn w:val="Normal"/>
    <w:pPr>
      <w:keepLines/>
      <w:widowControl/>
      <w:spacing w:after="180"/>
    </w:pPr>
    <w:rPr>
      <w:rFonts w:ascii="Lato" w:hAnsi="Lato"/>
      <w:b w:val="0"/>
      <w:color w:val="162A33"/>
      <w:sz w:val="22"/>
    </w:rPr>
  </w:style>
  <w:style w:type="paragraph" w:customStyle="1" w:styleId="SectionHeader">
    <w:name w:val="SectionHeader"/>
    <w:basedOn w:val="Normal"/>
    <w:pPr>
      <w:keepLines/>
      <w:widowControl/>
      <w:spacing w:after="180"/>
    </w:pPr>
    <w:rPr>
      <w:rFonts w:ascii="Lato" w:hAnsi="Lato"/>
      <w:b/>
      <w:color w:val="196967"/>
      <w:sz w:val="22"/>
    </w:rPr>
  </w:style>
  <w:style w:type="paragraph" w:customStyle="1" w:styleId="BulletBody">
    <w:name w:val="BulletBody"/>
    <w:basedOn w:val="Normal"/>
    <w:pPr>
      <w:keepLines/>
      <w:widowControl/>
      <w:spacing w:after="200"/>
    </w:pPr>
    <w:rPr>
      <w:rFonts w:ascii="Lato" w:hAnsi="Lato"/>
      <w:b w:val="0"/>
      <w:color w:val="1E2A2D"/>
      <w:sz w:val="19"/>
    </w:rPr>
  </w:style>
  <w:style w:type="paragraph" w:customStyle="1" w:styleId="Small">
    <w:name w:val="Small"/>
    <w:basedOn w:val="Normal"/>
    <w:pPr>
      <w:keepLines/>
      <w:widowControl/>
    </w:pPr>
    <w:rPr>
      <w:rFonts w:ascii="Lato" w:hAnsi="Lato"/>
      <w:b w:val="0"/>
      <w:color w:val="4E5F64"/>
      <w:sz w:val="16"/>
    </w:rPr>
  </w:style>
  <w:style w:type="paragraph" w:customStyle="1" w:styleId="FooterLabel">
    <w:name w:val="FooterLabel"/>
    <w:basedOn w:val="Normal"/>
    <w:pPr>
      <w:keepLines/>
      <w:widowControl/>
      <w:spacing w:after="80"/>
    </w:pPr>
    <w:rPr>
      <w:rFonts w:ascii="Lato" w:hAnsi="Lato"/>
      <w:b/>
      <w:color w:val="162A33"/>
      <w:sz w:val="20"/>
    </w:rPr>
  </w:style>
  <w:style w:type="paragraph" w:customStyle="1" w:styleId="FooterBody">
    <w:name w:val="FooterBody"/>
    <w:basedOn w:val="Normal"/>
    <w:pPr>
      <w:keepLines/>
      <w:widowControl/>
      <w:spacing w:after="120"/>
    </w:pPr>
    <w:rPr>
      <w:rFonts w:ascii="Lato" w:hAnsi="Lato"/>
      <w:b w:val="0"/>
      <w:color w:val="1E2A2D"/>
      <w:sz w:val="18"/>
    </w:rPr>
  </w:style>
  <w:style w:type="paragraph" w:customStyle="1" w:styleId="FinePrint">
    <w:name w:val="FinePrint"/>
    <w:basedOn w:val="Normal"/>
    <w:pPr>
      <w:keepLines/>
      <w:widowControl/>
      <w:spacing w:before="220"/>
    </w:pPr>
    <w:rPr>
      <w:rFonts w:ascii="Lato" w:hAnsi="Lato"/>
      <w:b w:val="0"/>
      <w:color w:val="4E5F64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