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crystal structure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from the original crystal antibody data, we only kept the antibodies that have: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alignment information for heavy </w:t>
      </w:r>
      <w:r w:rsidDel="00000000" w:rsidR="00000000" w:rsidRPr="00000000">
        <w:rPr>
          <w:i w:val="1"/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 light chains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structure predictions using ABodyBuilder </w:t>
      </w:r>
      <w:r w:rsidDel="00000000" w:rsidR="00000000" w:rsidRPr="00000000">
        <w:rPr>
          <w:i w:val="1"/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 IgFold for heavy and light chains separately </w:t>
      </w:r>
      <w:r w:rsidDel="00000000" w:rsidR="00000000" w:rsidRPr="00000000">
        <w:rPr>
          <w:i w:val="1"/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 as paired antibodies.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Antibody count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859</w:t>
      </w:r>
      <w:r w:rsidDel="00000000" w:rsidR="00000000" w:rsidRPr="00000000">
        <w:rPr>
          <w:rtl w:val="0"/>
        </w:rPr>
        <w:t xml:space="preserve"> unique antibodies (PDBs)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Enclosing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main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crystal_dataset</w:t>
        </w:r>
      </w:hyperlink>
      <w:r w:rsidDel="00000000" w:rsidR="00000000" w:rsidRPr="00000000">
        <w:rPr>
          <w:rtl w:val="0"/>
        </w:rPr>
        <w:t xml:space="preserve">” directory contains: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file “</w:t>
      </w:r>
      <w:r w:rsidDel="00000000" w:rsidR="00000000" w:rsidRPr="00000000">
        <w:rPr>
          <w:b w:val="1"/>
          <w:rtl w:val="0"/>
        </w:rPr>
        <w:t xml:space="preserve">aligned_crystal_dataset</w:t>
      </w:r>
      <w:r w:rsidDel="00000000" w:rsidR="00000000" w:rsidRPr="00000000">
        <w:rPr>
          <w:rtl w:val="0"/>
        </w:rPr>
        <w:t xml:space="preserve">.csv” contains </w:t>
      </w:r>
      <w:r w:rsidDel="00000000" w:rsidR="00000000" w:rsidRPr="00000000">
        <w:rPr>
          <w:b w:val="1"/>
          <w:rtl w:val="0"/>
        </w:rPr>
        <w:t xml:space="preserve">859</w:t>
      </w:r>
      <w:r w:rsidDel="00000000" w:rsidR="00000000" w:rsidRPr="00000000">
        <w:rPr>
          <w:rtl w:val="0"/>
        </w:rPr>
        <w:t xml:space="preserve"> unique antibodies with complete (heavy+light) sequence information + germline and region definition (FRs and CDRs). Thus, the “PDB” field is repeated twice, however the “identifier” field is unique for each row [1718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rows].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file “</w:t>
      </w:r>
      <w:r w:rsidDel="00000000" w:rsidR="00000000" w:rsidRPr="00000000">
        <w:rPr>
          <w:b w:val="1"/>
          <w:rtl w:val="0"/>
        </w:rPr>
        <w:t xml:space="preserve">AbChain_crystal_dataset</w:t>
      </w:r>
      <w:r w:rsidDel="00000000" w:rsidR="00000000" w:rsidRPr="00000000">
        <w:rPr>
          <w:rtl w:val="0"/>
        </w:rPr>
        <w:t xml:space="preserve">.csv” contains the same information as the file in (1) as well as the sequence-based DPs measured for the unpaired chains  [1718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rows].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two immunogenicity parameters (AbChain_immunopeptide_start_region and AbChain_immunopeptide_end_region) are qualitative/descriptive measures. Better to be avoided in quantitative (correlation) studies.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two sub directories (AbStruc_paired) and (AbStruc_unpaired) that contain the structure-based DP calculations as measured on for the paired and unpaired antibodies of this dataset, respectively.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DP “AbStruc_clashes” was removed because it mostly 0 for this dataset.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DP “AbStruc_pi_helices” is included to be treated as a control/comparison DP (with the native repertoire), but not to be used in correlation studies due to limited variability in its values.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DP “AbStruc_weak_hbonds” shows variability (in contrast to the native repertoire. 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j9N74vVpqtoVv4uAc9xDIcKplqXtK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