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62C04" w14:textId="444B1D4F" w:rsidR="00EB5765" w:rsidRDefault="00EB5765" w:rsidP="00EB5765">
      <w:pPr>
        <w:ind w:left="2160" w:firstLine="720"/>
        <w:rPr>
          <w:b/>
          <w:bCs/>
          <w:sz w:val="52"/>
          <w:szCs w:val="52"/>
        </w:rPr>
      </w:pPr>
      <w:r w:rsidRPr="00EB5765">
        <w:rPr>
          <w:b/>
          <w:bCs/>
          <w:sz w:val="52"/>
          <w:szCs w:val="52"/>
        </w:rPr>
        <w:t xml:space="preserve">Opinion writing </w:t>
      </w:r>
    </w:p>
    <w:p w14:paraId="6749CF4B" w14:textId="70A86B98" w:rsidR="00EB5765" w:rsidRPr="00506C45" w:rsidRDefault="00522C46" w:rsidP="00EB5765">
      <w:pPr>
        <w:ind w:left="1440" w:firstLine="720"/>
        <w:rPr>
          <w:b/>
          <w:bCs/>
          <w:sz w:val="32"/>
          <w:szCs w:val="32"/>
        </w:rPr>
      </w:pPr>
      <w:r>
        <w:rPr>
          <w:b/>
          <w:bCs/>
          <w:sz w:val="36"/>
          <w:szCs w:val="36"/>
        </w:rPr>
        <w:t xml:space="preserve"> </w:t>
      </w:r>
      <w:r w:rsidR="00EB5765" w:rsidRPr="00506C45">
        <w:rPr>
          <w:b/>
          <w:bCs/>
          <w:sz w:val="36"/>
          <w:szCs w:val="36"/>
        </w:rPr>
        <w:t xml:space="preserve">Cyber Crime and Digital Evidence </w:t>
      </w:r>
    </w:p>
    <w:p w14:paraId="3481814A" w14:textId="77777777" w:rsidR="00EB5765" w:rsidRDefault="00EB5765" w:rsidP="00EB5765">
      <w:pPr>
        <w:ind w:left="2160" w:firstLine="720"/>
        <w:rPr>
          <w:b/>
          <w:bCs/>
          <w:sz w:val="52"/>
          <w:szCs w:val="52"/>
        </w:rPr>
      </w:pPr>
    </w:p>
    <w:p w14:paraId="09BC1613" w14:textId="77777777" w:rsidR="008141F5" w:rsidRDefault="00EB5765" w:rsidP="00EB5765">
      <w:pPr>
        <w:ind w:left="2160" w:firstLine="720"/>
        <w:rPr>
          <w:b/>
          <w:bCs/>
          <w:sz w:val="52"/>
          <w:szCs w:val="52"/>
        </w:rPr>
      </w:pPr>
      <w:r>
        <w:rPr>
          <w:b/>
          <w:bCs/>
          <w:sz w:val="52"/>
          <w:szCs w:val="52"/>
        </w:rPr>
        <w:t xml:space="preserve">  </w:t>
      </w:r>
    </w:p>
    <w:p w14:paraId="497B3678" w14:textId="78B69829" w:rsidR="00EB5765" w:rsidRDefault="008141F5" w:rsidP="008141F5">
      <w:pPr>
        <w:ind w:left="2880"/>
        <w:rPr>
          <w:b/>
          <w:bCs/>
          <w:sz w:val="52"/>
          <w:szCs w:val="52"/>
        </w:rPr>
      </w:pPr>
      <w:r>
        <w:rPr>
          <w:b/>
          <w:bCs/>
          <w:sz w:val="52"/>
          <w:szCs w:val="52"/>
        </w:rPr>
        <w:t xml:space="preserve">   </w:t>
      </w:r>
      <w:r w:rsidR="00EB5765">
        <w:rPr>
          <w:b/>
          <w:bCs/>
          <w:sz w:val="52"/>
          <w:szCs w:val="52"/>
        </w:rPr>
        <w:t xml:space="preserve"> </w:t>
      </w:r>
      <w:r w:rsidR="00EB5765">
        <w:rPr>
          <w:b/>
          <w:bCs/>
          <w:noProof/>
          <w:sz w:val="52"/>
          <w:szCs w:val="52"/>
        </w:rPr>
        <w:drawing>
          <wp:inline distT="0" distB="0" distL="0" distR="0" wp14:anchorId="6C3A55F2" wp14:editId="4DC07A4D">
            <wp:extent cx="1987550" cy="1993265"/>
            <wp:effectExtent l="0" t="0" r="0" b="6985"/>
            <wp:docPr id="119580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7550" cy="1993265"/>
                    </a:xfrm>
                    <a:prstGeom prst="rect">
                      <a:avLst/>
                    </a:prstGeom>
                    <a:noFill/>
                  </pic:spPr>
                </pic:pic>
              </a:graphicData>
            </a:graphic>
          </wp:inline>
        </w:drawing>
      </w:r>
    </w:p>
    <w:p w14:paraId="6532D920" w14:textId="77777777" w:rsidR="00EB5765" w:rsidRDefault="00EB5765" w:rsidP="00EB5765">
      <w:pPr>
        <w:ind w:left="2160" w:firstLine="720"/>
        <w:rPr>
          <w:b/>
          <w:bCs/>
          <w:sz w:val="52"/>
          <w:szCs w:val="52"/>
        </w:rPr>
      </w:pPr>
    </w:p>
    <w:p w14:paraId="1D1F7F1A" w14:textId="77777777" w:rsidR="00EB5765" w:rsidRDefault="00EB5765" w:rsidP="00EB5765">
      <w:pPr>
        <w:ind w:left="2160" w:firstLine="720"/>
        <w:rPr>
          <w:b/>
          <w:bCs/>
          <w:sz w:val="52"/>
          <w:szCs w:val="52"/>
        </w:rPr>
      </w:pPr>
    </w:p>
    <w:p w14:paraId="461A0059" w14:textId="77777777" w:rsidR="00EB5765" w:rsidRDefault="00EB5765" w:rsidP="00EB5765">
      <w:pPr>
        <w:ind w:left="2160" w:firstLine="720"/>
        <w:rPr>
          <w:b/>
          <w:bCs/>
          <w:sz w:val="52"/>
          <w:szCs w:val="52"/>
        </w:rPr>
      </w:pPr>
    </w:p>
    <w:p w14:paraId="10D3942C" w14:textId="77777777" w:rsidR="00EB5765" w:rsidRDefault="00EB5765" w:rsidP="00EB5765">
      <w:pPr>
        <w:ind w:left="2160" w:firstLine="720"/>
        <w:rPr>
          <w:b/>
          <w:bCs/>
          <w:sz w:val="52"/>
          <w:szCs w:val="52"/>
        </w:rPr>
      </w:pPr>
    </w:p>
    <w:p w14:paraId="232349DE" w14:textId="77777777" w:rsidR="00EB5765" w:rsidRDefault="00EB5765" w:rsidP="00EB5765">
      <w:pPr>
        <w:jc w:val="center"/>
        <w:rPr>
          <w:b/>
          <w:bCs/>
          <w:sz w:val="24"/>
          <w:szCs w:val="24"/>
        </w:rPr>
      </w:pPr>
    </w:p>
    <w:p w14:paraId="1BD59A20" w14:textId="77777777" w:rsidR="00EB5765" w:rsidRPr="001638BA" w:rsidRDefault="00EB5765" w:rsidP="00EB5765">
      <w:pPr>
        <w:jc w:val="center"/>
        <w:rPr>
          <w:b/>
          <w:bCs/>
          <w:sz w:val="24"/>
          <w:szCs w:val="24"/>
          <w:u w:val="single"/>
        </w:rPr>
      </w:pPr>
      <w:r w:rsidRPr="001638BA">
        <w:rPr>
          <w:b/>
          <w:bCs/>
          <w:sz w:val="24"/>
          <w:szCs w:val="24"/>
          <w:u w:val="single"/>
        </w:rPr>
        <w:t>Submitted by</w:t>
      </w:r>
    </w:p>
    <w:p w14:paraId="6C86743F" w14:textId="77777777" w:rsidR="00EB5765" w:rsidRPr="00A36BFE" w:rsidRDefault="00EB5765" w:rsidP="00EB5765">
      <w:pPr>
        <w:jc w:val="center"/>
        <w:rPr>
          <w:sz w:val="24"/>
          <w:szCs w:val="24"/>
        </w:rPr>
      </w:pPr>
      <w:r>
        <w:rPr>
          <w:sz w:val="24"/>
          <w:szCs w:val="24"/>
        </w:rPr>
        <w:t>Name: Sidhant Kumar Chaurasiya</w:t>
      </w:r>
    </w:p>
    <w:p w14:paraId="7D267EAF" w14:textId="77777777" w:rsidR="00EB5765" w:rsidRPr="00A36BFE" w:rsidRDefault="00EB5765" w:rsidP="00EB5765">
      <w:pPr>
        <w:jc w:val="center"/>
        <w:rPr>
          <w:sz w:val="24"/>
          <w:szCs w:val="24"/>
        </w:rPr>
      </w:pPr>
      <w:r w:rsidRPr="00A36BFE">
        <w:rPr>
          <w:sz w:val="24"/>
          <w:szCs w:val="24"/>
        </w:rPr>
        <w:t>Student ID:</w:t>
      </w:r>
      <w:r>
        <w:rPr>
          <w:sz w:val="24"/>
          <w:szCs w:val="24"/>
        </w:rPr>
        <w:t>10487</w:t>
      </w:r>
    </w:p>
    <w:p w14:paraId="48D6EBB2" w14:textId="77777777" w:rsidR="00EB5765" w:rsidRPr="00A36BFE" w:rsidRDefault="00EB5765" w:rsidP="00EB5765">
      <w:pPr>
        <w:jc w:val="center"/>
        <w:rPr>
          <w:sz w:val="24"/>
          <w:szCs w:val="24"/>
        </w:rPr>
      </w:pPr>
      <w:r>
        <w:rPr>
          <w:sz w:val="24"/>
          <w:szCs w:val="24"/>
        </w:rPr>
        <w:t>Cyber Security and digital forensics</w:t>
      </w:r>
    </w:p>
    <w:p w14:paraId="3BAACD20" w14:textId="5D5D0172" w:rsidR="008141F5" w:rsidRPr="005D6227" w:rsidRDefault="00EB5765" w:rsidP="005D6227">
      <w:pPr>
        <w:jc w:val="center"/>
        <w:rPr>
          <w:sz w:val="24"/>
          <w:szCs w:val="24"/>
        </w:rPr>
      </w:pPr>
      <w:r w:rsidRPr="00A36BFE">
        <w:rPr>
          <w:sz w:val="24"/>
          <w:szCs w:val="24"/>
        </w:rPr>
        <w:t>Kathmandu, Nepa</w:t>
      </w:r>
      <w:r w:rsidR="005D6227">
        <w:rPr>
          <w:sz w:val="24"/>
          <w:szCs w:val="24"/>
        </w:rPr>
        <w:t>l</w:t>
      </w:r>
    </w:p>
    <w:p w14:paraId="1ACC5A36" w14:textId="3FE47D61" w:rsidR="009D717C" w:rsidRDefault="009D717C">
      <w:r>
        <w:lastRenderedPageBreak/>
        <w:t xml:space="preserve">the forensics investigation of the “Hunter XP” disk image reveals substantial evidence of </w:t>
      </w:r>
      <w:r w:rsidR="00EF5287">
        <w:t>criminal</w:t>
      </w:r>
      <w:r>
        <w:t xml:space="preserve"> activities, including ransomware operation, extortion, data tempering, stalking, and conspiracy. These activities violate multiple UK laws designed to safeguard individuals and digital systems. Below is a detailed explanation of the offensive, evidence, and relevant legal framework:</w:t>
      </w:r>
    </w:p>
    <w:p w14:paraId="715F669D" w14:textId="51762180" w:rsidR="009D717C" w:rsidRPr="008141F5" w:rsidRDefault="009D717C" w:rsidP="009D717C">
      <w:pPr>
        <w:pStyle w:val="ListParagraph"/>
        <w:numPr>
          <w:ilvl w:val="0"/>
          <w:numId w:val="1"/>
        </w:numPr>
        <w:rPr>
          <w:b/>
          <w:bCs/>
          <w:sz w:val="24"/>
          <w:szCs w:val="24"/>
        </w:rPr>
      </w:pPr>
      <w:r w:rsidRPr="008141F5">
        <w:rPr>
          <w:b/>
          <w:bCs/>
          <w:sz w:val="24"/>
          <w:szCs w:val="24"/>
        </w:rPr>
        <w:t>Ransomware and extortion</w:t>
      </w:r>
    </w:p>
    <w:p w14:paraId="0ADBBE6D" w14:textId="40939BDC" w:rsidR="009D717C" w:rsidRDefault="009D717C" w:rsidP="009D717C">
      <w:pPr>
        <w:pStyle w:val="ListParagraph"/>
        <w:numPr>
          <w:ilvl w:val="0"/>
          <w:numId w:val="2"/>
        </w:numPr>
      </w:pPr>
      <w:r w:rsidRPr="008141F5">
        <w:rPr>
          <w:b/>
          <w:bCs/>
        </w:rPr>
        <w:t>Evidence</w:t>
      </w:r>
      <w:r>
        <w:t xml:space="preserve">: Recovered email communications explicitly discuss ransom demands and negotiations, involving large sums of money. The presence of encryption and data-wiping tools, such as </w:t>
      </w:r>
      <w:proofErr w:type="spellStart"/>
      <w:r>
        <w:t>BCWipe</w:t>
      </w:r>
      <w:proofErr w:type="spellEnd"/>
      <w:r>
        <w:t xml:space="preserve"> and </w:t>
      </w:r>
      <w:proofErr w:type="spellStart"/>
      <w:r>
        <w:t>BestCrypt</w:t>
      </w:r>
      <w:proofErr w:type="spellEnd"/>
      <w:r>
        <w:t xml:space="preserve">, further corroborates the intent to extort victims through ransomware schemes </w:t>
      </w:r>
    </w:p>
    <w:p w14:paraId="4E9CB5C9" w14:textId="561037BF" w:rsidR="00866C35" w:rsidRDefault="009D717C" w:rsidP="00866C35">
      <w:pPr>
        <w:pStyle w:val="ListParagraph"/>
        <w:numPr>
          <w:ilvl w:val="0"/>
          <w:numId w:val="2"/>
        </w:numPr>
      </w:pPr>
      <w:r w:rsidRPr="008141F5">
        <w:rPr>
          <w:b/>
          <w:bCs/>
        </w:rPr>
        <w:t>Applicable L</w:t>
      </w:r>
      <w:r w:rsidR="00866C35" w:rsidRPr="008141F5">
        <w:rPr>
          <w:b/>
          <w:bCs/>
        </w:rPr>
        <w:t>aw</w:t>
      </w:r>
      <w:r w:rsidR="00866C35">
        <w:t>:</w:t>
      </w:r>
    </w:p>
    <w:p w14:paraId="375E30A1" w14:textId="2B51B87B" w:rsidR="00866C35" w:rsidRDefault="00866C35" w:rsidP="00866C35">
      <w:pPr>
        <w:pStyle w:val="ListParagraph"/>
        <w:numPr>
          <w:ilvl w:val="0"/>
          <w:numId w:val="3"/>
        </w:numPr>
      </w:pPr>
      <w:r w:rsidRPr="008141F5">
        <w:rPr>
          <w:highlight w:val="green"/>
        </w:rPr>
        <w:t>Theft Act 1968, Section 21</w:t>
      </w:r>
      <w:r>
        <w:t xml:space="preserve"> defines blackmail as making unwarranted demands with menaces, </w:t>
      </w:r>
      <w:r w:rsidR="00EF5287">
        <w:t>to cause loss or gain</w:t>
      </w:r>
      <w:r>
        <w:t xml:space="preserve"> financially. The “menaces” can include threats of reputation, financial, and digital harm, not necessarily physical violence.</w:t>
      </w:r>
    </w:p>
    <w:p w14:paraId="59870B26" w14:textId="6352CEC9" w:rsidR="00866C35" w:rsidRDefault="00866C35" w:rsidP="00866C35">
      <w:pPr>
        <w:pStyle w:val="ListParagraph"/>
        <w:numPr>
          <w:ilvl w:val="0"/>
          <w:numId w:val="3"/>
        </w:numPr>
      </w:pPr>
      <w:r w:rsidRPr="008141F5">
        <w:rPr>
          <w:highlight w:val="yellow"/>
        </w:rPr>
        <w:t>Relevance of the case</w:t>
      </w:r>
      <w:r>
        <w:t xml:space="preserve">: </w:t>
      </w:r>
      <w:r w:rsidR="00EF5287">
        <w:t>communication</w:t>
      </w:r>
      <w:r>
        <w:t xml:space="preserve"> recovered from the disk shows deliberate coordination to demand payment under duress, fitting the legal definition of blackmail under this act.</w:t>
      </w:r>
    </w:p>
    <w:p w14:paraId="6410FFA7" w14:textId="501904C2" w:rsidR="00866C35" w:rsidRDefault="00866C35" w:rsidP="00866C35">
      <w:pPr>
        <w:pStyle w:val="ListParagraph"/>
        <w:numPr>
          <w:ilvl w:val="0"/>
          <w:numId w:val="1"/>
        </w:numPr>
      </w:pPr>
      <w:r w:rsidRPr="008141F5">
        <w:rPr>
          <w:b/>
          <w:bCs/>
          <w:sz w:val="24"/>
          <w:szCs w:val="24"/>
        </w:rPr>
        <w:t>Data Tempering and concealment</w:t>
      </w:r>
      <w:r>
        <w:t xml:space="preserve">: </w:t>
      </w:r>
    </w:p>
    <w:p w14:paraId="09C8B70B" w14:textId="0AF29702" w:rsidR="00866C35" w:rsidRDefault="00866C35" w:rsidP="00866C35">
      <w:pPr>
        <w:pStyle w:val="ListParagraph"/>
        <w:numPr>
          <w:ilvl w:val="0"/>
          <w:numId w:val="5"/>
        </w:numPr>
      </w:pPr>
      <w:r w:rsidRPr="008141F5">
        <w:rPr>
          <w:b/>
          <w:bCs/>
        </w:rPr>
        <w:t>Evidence</w:t>
      </w:r>
      <w:r>
        <w:t xml:space="preserve">: altered file extensions, deleted files, and tempered records were identified. Tools like </w:t>
      </w:r>
      <w:proofErr w:type="spellStart"/>
      <w:r>
        <w:t>BCWipe</w:t>
      </w:r>
      <w:proofErr w:type="spellEnd"/>
      <w:r>
        <w:t xml:space="preserve"> were used to erase incrimination data, indicating an effort to destroy evidence of illicit activities.</w:t>
      </w:r>
    </w:p>
    <w:p w14:paraId="21456DBD" w14:textId="445DB165" w:rsidR="00866C35" w:rsidRDefault="00866C35" w:rsidP="00866C35">
      <w:pPr>
        <w:pStyle w:val="ListParagraph"/>
        <w:numPr>
          <w:ilvl w:val="0"/>
          <w:numId w:val="5"/>
        </w:numPr>
      </w:pPr>
      <w:r w:rsidRPr="008141F5">
        <w:rPr>
          <w:b/>
          <w:bCs/>
        </w:rPr>
        <w:t>Applicable Laws</w:t>
      </w:r>
      <w:r>
        <w:t>:</w:t>
      </w:r>
    </w:p>
    <w:p w14:paraId="042195E2" w14:textId="11514557" w:rsidR="00866C35" w:rsidRDefault="00866C35" w:rsidP="00866C35">
      <w:pPr>
        <w:pStyle w:val="ListParagraph"/>
        <w:numPr>
          <w:ilvl w:val="0"/>
          <w:numId w:val="6"/>
        </w:numPr>
      </w:pPr>
      <w:r w:rsidRPr="008141F5">
        <w:rPr>
          <w:highlight w:val="green"/>
        </w:rPr>
        <w:t>Computer Misuse Act 1990, Section 3</w:t>
      </w:r>
      <w:r>
        <w:t xml:space="preserve">: this law </w:t>
      </w:r>
      <w:r w:rsidR="00741A5E">
        <w:t>criminalizes unauthorized acts that impair the operation of any computer or the data it holds. It covers the intentional destruction or modification of digital information.</w:t>
      </w:r>
    </w:p>
    <w:p w14:paraId="08357498" w14:textId="4D057E3C" w:rsidR="00741A5E" w:rsidRDefault="00741A5E" w:rsidP="00866C35">
      <w:pPr>
        <w:pStyle w:val="ListParagraph"/>
        <w:numPr>
          <w:ilvl w:val="0"/>
          <w:numId w:val="6"/>
        </w:numPr>
      </w:pPr>
      <w:r w:rsidRPr="008141F5">
        <w:rPr>
          <w:highlight w:val="yellow"/>
        </w:rPr>
        <w:t>Relevance of the case</w:t>
      </w:r>
      <w:r>
        <w:t>: By tempering with files and using wiping tools to delete data, the suspect engaged in activity aimed at obstructing justice and concealing criminal behavior. This fits the criteria of prosecuting under section 3 of the Act.</w:t>
      </w:r>
    </w:p>
    <w:p w14:paraId="31B31A0F" w14:textId="0691B499" w:rsidR="00741A5E" w:rsidRDefault="00741A5E" w:rsidP="00741A5E">
      <w:pPr>
        <w:pStyle w:val="ListParagraph"/>
        <w:numPr>
          <w:ilvl w:val="0"/>
          <w:numId w:val="1"/>
        </w:numPr>
      </w:pPr>
      <w:r w:rsidRPr="008141F5">
        <w:rPr>
          <w:b/>
          <w:bCs/>
          <w:sz w:val="24"/>
          <w:szCs w:val="24"/>
        </w:rPr>
        <w:t>Unauthorized data exfiltration</w:t>
      </w:r>
      <w:r>
        <w:t>:</w:t>
      </w:r>
    </w:p>
    <w:p w14:paraId="51D6BF8E" w14:textId="3FF90F98" w:rsidR="00741A5E" w:rsidRDefault="00741A5E" w:rsidP="00741A5E">
      <w:pPr>
        <w:pStyle w:val="ListParagraph"/>
        <w:numPr>
          <w:ilvl w:val="0"/>
          <w:numId w:val="10"/>
        </w:numPr>
      </w:pPr>
      <w:r w:rsidRPr="008141F5">
        <w:rPr>
          <w:b/>
          <w:bCs/>
        </w:rPr>
        <w:t>Evidence</w:t>
      </w:r>
      <w:r>
        <w:t xml:space="preserve">: Network and </w:t>
      </w:r>
      <w:r w:rsidR="0074158C">
        <w:t>external device logs show an attempt to exfiltrate sensitive data. This includes evidence of USB drives being used and connection to unauthorized networks.</w:t>
      </w:r>
    </w:p>
    <w:p w14:paraId="0B2D64A5" w14:textId="0F02BA4B" w:rsidR="0074158C" w:rsidRPr="008141F5" w:rsidRDefault="0074158C" w:rsidP="00741A5E">
      <w:pPr>
        <w:pStyle w:val="ListParagraph"/>
        <w:numPr>
          <w:ilvl w:val="0"/>
          <w:numId w:val="10"/>
        </w:numPr>
        <w:rPr>
          <w:b/>
          <w:bCs/>
        </w:rPr>
      </w:pPr>
      <w:r w:rsidRPr="008141F5">
        <w:rPr>
          <w:b/>
          <w:bCs/>
        </w:rPr>
        <w:t>Applicable Law:</w:t>
      </w:r>
    </w:p>
    <w:p w14:paraId="142A16C9" w14:textId="7762CDC4" w:rsidR="0074158C" w:rsidRDefault="0074158C" w:rsidP="0074158C">
      <w:pPr>
        <w:pStyle w:val="ListParagraph"/>
        <w:numPr>
          <w:ilvl w:val="0"/>
          <w:numId w:val="11"/>
        </w:numPr>
      </w:pPr>
      <w:r w:rsidRPr="008141F5">
        <w:rPr>
          <w:highlight w:val="green"/>
        </w:rPr>
        <w:t>Data Protection Act 2018:</w:t>
      </w:r>
      <w:r>
        <w:t xml:space="preserve"> This act incorporates the </w:t>
      </w:r>
      <w:proofErr w:type="gramStart"/>
      <w:r>
        <w:t>principles of</w:t>
      </w:r>
      <w:proofErr w:type="gramEnd"/>
      <w:r>
        <w:t xml:space="preserve"> </w:t>
      </w:r>
      <w:proofErr w:type="spellStart"/>
      <w:r>
        <w:t>of</w:t>
      </w:r>
      <w:proofErr w:type="spellEnd"/>
      <w:r>
        <w:t xml:space="preserve"> </w:t>
      </w:r>
      <w:r w:rsidR="00C9728B">
        <w:t>General</w:t>
      </w:r>
      <w:r>
        <w:t xml:space="preserve"> Data Protection Regulation</w:t>
      </w:r>
      <w:r w:rsidR="00C9728B">
        <w:t xml:space="preserve"> </w:t>
      </w:r>
      <w:r>
        <w:t xml:space="preserve">(GDPR) into </w:t>
      </w:r>
      <w:r w:rsidR="00C9728B">
        <w:t>UK</w:t>
      </w:r>
      <w:r>
        <w:t xml:space="preserve"> law, ensuring </w:t>
      </w:r>
      <w:r w:rsidR="00C9728B">
        <w:t>strict control over the processing, storage, and transfer of personal data. Unauthorized access to personal data. Unauthorized access or exfiltration of such data constitutes a violation.</w:t>
      </w:r>
    </w:p>
    <w:p w14:paraId="172B47BB" w14:textId="5E9D7A46" w:rsidR="00C9728B" w:rsidRDefault="00C9728B" w:rsidP="0074158C">
      <w:pPr>
        <w:pStyle w:val="ListParagraph"/>
        <w:numPr>
          <w:ilvl w:val="0"/>
          <w:numId w:val="11"/>
        </w:numPr>
      </w:pPr>
      <w:r w:rsidRPr="008141F5">
        <w:rPr>
          <w:highlight w:val="yellow"/>
        </w:rPr>
        <w:t>Relevance of the Case</w:t>
      </w:r>
      <w:r>
        <w:t>: Any attempt to extract personal or sensitive information from a system without authorization breaches the Data Protection Act. The logs recovered substantiate this offense.</w:t>
      </w:r>
    </w:p>
    <w:p w14:paraId="7E926244" w14:textId="4374B53C" w:rsidR="00C9728B" w:rsidRDefault="00C9728B" w:rsidP="00C9728B">
      <w:pPr>
        <w:pStyle w:val="ListParagraph"/>
        <w:numPr>
          <w:ilvl w:val="0"/>
          <w:numId w:val="1"/>
        </w:numPr>
      </w:pPr>
      <w:r w:rsidRPr="008141F5">
        <w:rPr>
          <w:b/>
          <w:bCs/>
          <w:sz w:val="24"/>
          <w:szCs w:val="24"/>
        </w:rPr>
        <w:lastRenderedPageBreak/>
        <w:t>Stalking and surveillance</w:t>
      </w:r>
      <w:r>
        <w:t>:</w:t>
      </w:r>
    </w:p>
    <w:p w14:paraId="5CB72613" w14:textId="41E06D71" w:rsidR="00C9728B" w:rsidRPr="008141F5" w:rsidRDefault="00C9728B" w:rsidP="008141F5">
      <w:pPr>
        <w:pStyle w:val="ListParagraph"/>
        <w:numPr>
          <w:ilvl w:val="0"/>
          <w:numId w:val="12"/>
        </w:numPr>
        <w:rPr>
          <w:b/>
          <w:bCs/>
        </w:rPr>
      </w:pPr>
      <w:r w:rsidRPr="008141F5">
        <w:rPr>
          <w:b/>
          <w:bCs/>
        </w:rPr>
        <w:t xml:space="preserve">Evidence: </w:t>
      </w:r>
      <w:r>
        <w:t xml:space="preserve">Files recovered from the disk included materials related to stalking techniques and surveillance of the </w:t>
      </w:r>
      <w:r w:rsidR="00E94F8D">
        <w:t>individuals. These indicate a deliberate intent to intimidate or track victims.</w:t>
      </w:r>
    </w:p>
    <w:p w14:paraId="0807DDD1" w14:textId="14F58EB6" w:rsidR="00E94F8D" w:rsidRPr="008141F5" w:rsidRDefault="00E94F8D" w:rsidP="00C9728B">
      <w:pPr>
        <w:pStyle w:val="ListParagraph"/>
        <w:numPr>
          <w:ilvl w:val="0"/>
          <w:numId w:val="12"/>
        </w:numPr>
        <w:rPr>
          <w:b/>
          <w:bCs/>
        </w:rPr>
      </w:pPr>
      <w:r w:rsidRPr="008141F5">
        <w:rPr>
          <w:b/>
          <w:bCs/>
        </w:rPr>
        <w:t>Applicable Laws:</w:t>
      </w:r>
    </w:p>
    <w:p w14:paraId="2F6548E4" w14:textId="1562944A" w:rsidR="00E94F8D" w:rsidRDefault="00E94F8D" w:rsidP="00E94F8D">
      <w:pPr>
        <w:pStyle w:val="ListParagraph"/>
        <w:numPr>
          <w:ilvl w:val="0"/>
          <w:numId w:val="13"/>
        </w:numPr>
      </w:pPr>
      <w:r w:rsidRPr="008141F5">
        <w:rPr>
          <w:highlight w:val="green"/>
        </w:rPr>
        <w:t>Protection from Harassment Act 1997, Section 2:</w:t>
      </w:r>
      <w:r>
        <w:t xml:space="preserve"> This section makes it an offense to engage in conduct that amounts to harassment, including stalking. Harassment is an action that causes alarm or distress, whether physical, digital, or physiological.</w:t>
      </w:r>
    </w:p>
    <w:p w14:paraId="3C5B6ED5" w14:textId="2466A474" w:rsidR="00E94F8D" w:rsidRDefault="00E94F8D" w:rsidP="00E94F8D">
      <w:pPr>
        <w:pStyle w:val="ListParagraph"/>
        <w:numPr>
          <w:ilvl w:val="0"/>
          <w:numId w:val="13"/>
        </w:numPr>
      </w:pPr>
      <w:r w:rsidRPr="008141F5">
        <w:rPr>
          <w:highlight w:val="yellow"/>
        </w:rPr>
        <w:t>Relevance of the Case</w:t>
      </w:r>
      <w:r>
        <w:t>: the recovered files suggest predatory behavior, likely to intimidate victims, which constitutes a breach of this act.</w:t>
      </w:r>
    </w:p>
    <w:p w14:paraId="5B110813" w14:textId="7DDD1D3E" w:rsidR="00E94F8D" w:rsidRDefault="00E94F8D" w:rsidP="00E94F8D">
      <w:pPr>
        <w:pStyle w:val="ListParagraph"/>
        <w:numPr>
          <w:ilvl w:val="0"/>
          <w:numId w:val="1"/>
        </w:numPr>
      </w:pPr>
      <w:r w:rsidRPr="008141F5">
        <w:rPr>
          <w:b/>
          <w:bCs/>
        </w:rPr>
        <w:t>Conspiracy and collaboration</w:t>
      </w:r>
      <w:r>
        <w:t>:</w:t>
      </w:r>
    </w:p>
    <w:p w14:paraId="5AF4FE7C" w14:textId="157F438D" w:rsidR="00367B06" w:rsidRDefault="00E94F8D" w:rsidP="00E94F8D">
      <w:pPr>
        <w:pStyle w:val="ListParagraph"/>
        <w:numPr>
          <w:ilvl w:val="0"/>
          <w:numId w:val="14"/>
        </w:numPr>
      </w:pPr>
      <w:r w:rsidRPr="008141F5">
        <w:rPr>
          <w:b/>
          <w:bCs/>
        </w:rPr>
        <w:t>Evidence</w:t>
      </w:r>
      <w:r>
        <w:t xml:space="preserve">: Email threads show discussions between multiple parties to </w:t>
      </w:r>
      <w:r w:rsidR="00367B06">
        <w:t>coordinate</w:t>
      </w:r>
      <w:r>
        <w:t xml:space="preserve"> ransomware </w:t>
      </w:r>
      <w:r w:rsidR="00367B06">
        <w:t>attacks</w:t>
      </w:r>
      <w:r>
        <w:t xml:space="preserve"> and extortion plans. This evidence indicates premedi</w:t>
      </w:r>
      <w:r w:rsidR="00367B06">
        <w:t xml:space="preserve">tation and collaboration </w:t>
      </w:r>
    </w:p>
    <w:p w14:paraId="457B0344" w14:textId="77777777" w:rsidR="00367B06" w:rsidRPr="008141F5" w:rsidRDefault="00367B06" w:rsidP="00E94F8D">
      <w:pPr>
        <w:pStyle w:val="ListParagraph"/>
        <w:numPr>
          <w:ilvl w:val="0"/>
          <w:numId w:val="14"/>
        </w:numPr>
        <w:rPr>
          <w:b/>
          <w:bCs/>
        </w:rPr>
      </w:pPr>
      <w:r w:rsidRPr="008141F5">
        <w:rPr>
          <w:b/>
          <w:bCs/>
        </w:rPr>
        <w:t>Applicable Law:</w:t>
      </w:r>
    </w:p>
    <w:p w14:paraId="76F464DC" w14:textId="529B1183" w:rsidR="00E94F8D" w:rsidRDefault="00367B06" w:rsidP="00367B06">
      <w:pPr>
        <w:pStyle w:val="ListParagraph"/>
        <w:numPr>
          <w:ilvl w:val="0"/>
          <w:numId w:val="15"/>
        </w:numPr>
      </w:pPr>
      <w:r w:rsidRPr="008141F5">
        <w:rPr>
          <w:highlight w:val="green"/>
        </w:rPr>
        <w:t>Criminal Law Act 1977, section 1</w:t>
      </w:r>
      <w:r>
        <w:t>: this act defines conspiracy as an agreement between two or more parties to commit a criminal act. The crime need not be completed for prosecution, the agreement alone suffices.</w:t>
      </w:r>
    </w:p>
    <w:p w14:paraId="50875DF7" w14:textId="2763EB95" w:rsidR="00367B06" w:rsidRDefault="00367B06" w:rsidP="00367B06">
      <w:pPr>
        <w:pStyle w:val="ListParagraph"/>
        <w:numPr>
          <w:ilvl w:val="0"/>
          <w:numId w:val="15"/>
        </w:numPr>
      </w:pPr>
      <w:r w:rsidRPr="008141F5">
        <w:rPr>
          <w:highlight w:val="yellow"/>
        </w:rPr>
        <w:t>Relevance to the Case</w:t>
      </w:r>
      <w:r>
        <w:t xml:space="preserve">: The email discussion clearly </w:t>
      </w:r>
      <w:r w:rsidR="00024FEC">
        <w:t>shows</w:t>
      </w:r>
      <w:r>
        <w:t xml:space="preserve"> the planning and intent to commit ransomware and extortion, meeting </w:t>
      </w:r>
      <w:r w:rsidR="00024FEC">
        <w:t>the</w:t>
      </w:r>
      <w:r>
        <w:t xml:space="preserve"> criteria for conspiracy under this law</w:t>
      </w:r>
    </w:p>
    <w:p w14:paraId="1A1EB66D" w14:textId="11BBFA27" w:rsidR="00E94F8D" w:rsidRDefault="00EF5287" w:rsidP="00367B06">
      <w:pPr>
        <w:pStyle w:val="ListParagraph"/>
        <w:numPr>
          <w:ilvl w:val="0"/>
          <w:numId w:val="1"/>
        </w:numPr>
      </w:pPr>
      <w:r w:rsidRPr="008141F5">
        <w:rPr>
          <w:b/>
          <w:bCs/>
          <w:sz w:val="24"/>
          <w:szCs w:val="24"/>
        </w:rPr>
        <w:t>Conclusion and</w:t>
      </w:r>
      <w:r w:rsidR="00367B06" w:rsidRPr="008141F5">
        <w:rPr>
          <w:b/>
          <w:bCs/>
          <w:sz w:val="24"/>
          <w:szCs w:val="24"/>
        </w:rPr>
        <w:t xml:space="preserve"> Recommendations</w:t>
      </w:r>
      <w:r w:rsidR="00367B06">
        <w:t>:</w:t>
      </w:r>
    </w:p>
    <w:p w14:paraId="16BE6E2C" w14:textId="47A8CC40" w:rsidR="00367B06" w:rsidRDefault="00367B06" w:rsidP="00367B06">
      <w:pPr>
        <w:pStyle w:val="ListParagraph"/>
      </w:pPr>
      <w:r>
        <w:t xml:space="preserve">The investigation provides irrefutable evidence of Bob </w:t>
      </w:r>
      <w:r w:rsidR="00024FEC">
        <w:t>Hunter's</w:t>
      </w:r>
      <w:r>
        <w:t xml:space="preserve"> involvement in these activities. The comprehensive finding </w:t>
      </w:r>
      <w:r w:rsidR="00024FEC">
        <w:t>leaves</w:t>
      </w:r>
      <w:r>
        <w:t xml:space="preserve"> no doubt about this culpability. It is strongly recommended that legal </w:t>
      </w:r>
      <w:r w:rsidR="00024FEC">
        <w:t xml:space="preserve">proceedings be initiated under the </w:t>
      </w:r>
      <w:proofErr w:type="gramStart"/>
      <w:r w:rsidR="00024FEC">
        <w:t>aforementioned laws</w:t>
      </w:r>
      <w:proofErr w:type="gramEnd"/>
      <w:r w:rsidR="00024FEC">
        <w:t>, as the evidence meets the requirements for prosecution beyond a reasonable doubt.</w:t>
      </w:r>
    </w:p>
    <w:p w14:paraId="44B808D3" w14:textId="77777777" w:rsidR="00024FEC" w:rsidRDefault="00024FEC" w:rsidP="00367B06">
      <w:pPr>
        <w:pStyle w:val="ListParagraph"/>
      </w:pPr>
    </w:p>
    <w:p w14:paraId="472E0240" w14:textId="77777777" w:rsidR="00741A5E" w:rsidRDefault="00741A5E" w:rsidP="00741A5E"/>
    <w:p w14:paraId="2ADA80E8" w14:textId="77777777" w:rsidR="00024FEC" w:rsidRPr="008141F5" w:rsidRDefault="00024FEC" w:rsidP="00024FEC">
      <w:pPr>
        <w:rPr>
          <w:b/>
          <w:bCs/>
          <w:sz w:val="24"/>
          <w:szCs w:val="24"/>
        </w:rPr>
      </w:pPr>
      <w:r w:rsidRPr="008141F5">
        <w:rPr>
          <w:b/>
          <w:bCs/>
          <w:sz w:val="24"/>
          <w:szCs w:val="24"/>
        </w:rPr>
        <w:t>References</w:t>
      </w:r>
    </w:p>
    <w:p w14:paraId="00343BB8" w14:textId="3A52DA8F" w:rsidR="00024FEC" w:rsidRDefault="00024FEC" w:rsidP="00024FEC">
      <w:r>
        <w:t xml:space="preserve">CPS (2023) Blackmail: Legal Guidance. Available at: </w:t>
      </w:r>
      <w:hyperlink r:id="rId6" w:history="1">
        <w:r w:rsidR="00640BD6" w:rsidRPr="007260BE">
          <w:rPr>
            <w:rStyle w:val="Hyperlink"/>
          </w:rPr>
          <w:t>https://www.cps.gov.uk/legal-guidance/blackmail</w:t>
        </w:r>
      </w:hyperlink>
      <w:r w:rsidR="008141F5">
        <w:t xml:space="preserve"> </w:t>
      </w:r>
    </w:p>
    <w:p w14:paraId="2E2079F3" w14:textId="05FFA835" w:rsidR="00024FEC" w:rsidRDefault="00024FEC" w:rsidP="00024FEC">
      <w:r>
        <w:t xml:space="preserve">Legislation.gov.uk (2023) Computer Misuse Act 1990. Available at: </w:t>
      </w:r>
      <w:hyperlink r:id="rId7" w:history="1">
        <w:r w:rsidR="008141F5" w:rsidRPr="00F27033">
          <w:rPr>
            <w:rStyle w:val="Hyperlink"/>
          </w:rPr>
          <w:t>https://www.legislation.gov.uk/ukpga/1990/18</w:t>
        </w:r>
      </w:hyperlink>
    </w:p>
    <w:p w14:paraId="430E4F24" w14:textId="1684546B" w:rsidR="00024FEC" w:rsidRDefault="00024FEC" w:rsidP="00024FEC">
      <w:r>
        <w:t xml:space="preserve">ICO (2023) Guide to the UK General Data Protection Regulation (UK GDPR). Available at: </w:t>
      </w:r>
      <w:hyperlink r:id="rId8" w:history="1">
        <w:r w:rsidR="008141F5" w:rsidRPr="00F27033">
          <w:rPr>
            <w:rStyle w:val="Hyperlink"/>
          </w:rPr>
          <w:t>https://ico.org.uk/for-organisations/guide-to-data-protection</w:t>
        </w:r>
      </w:hyperlink>
    </w:p>
    <w:p w14:paraId="43847E47" w14:textId="77777777" w:rsidR="008141F5" w:rsidRDefault="008141F5" w:rsidP="00024FEC"/>
    <w:p w14:paraId="4D379A2E" w14:textId="302BF368" w:rsidR="00024FEC" w:rsidRDefault="00024FEC" w:rsidP="00024FEC">
      <w:r>
        <w:t xml:space="preserve">Legislation.gov.uk (2023) Protection from Harassment Act 1997. Available at: </w:t>
      </w:r>
      <w:hyperlink r:id="rId9" w:history="1">
        <w:r w:rsidR="008141F5" w:rsidRPr="00F27033">
          <w:rPr>
            <w:rStyle w:val="Hyperlink"/>
          </w:rPr>
          <w:t>https://www.legislation.gov.uk/ukpga/1997/40</w:t>
        </w:r>
      </w:hyperlink>
    </w:p>
    <w:p w14:paraId="49F37DF7" w14:textId="77777777" w:rsidR="008141F5" w:rsidRDefault="008141F5" w:rsidP="00024FEC"/>
    <w:p w14:paraId="6922C0E2" w14:textId="424C77ED" w:rsidR="00024FEC" w:rsidRDefault="00024FEC" w:rsidP="00024FEC">
      <w:r>
        <w:t xml:space="preserve">CPS (2023) Conspiracy: Legal Guidance. Available at: </w:t>
      </w:r>
      <w:hyperlink r:id="rId10" w:history="1">
        <w:r w:rsidR="008141F5" w:rsidRPr="00F27033">
          <w:rPr>
            <w:rStyle w:val="Hyperlink"/>
          </w:rPr>
          <w:t>https://www.cps.gov.uk/legal-guidance/conspiracy</w:t>
        </w:r>
      </w:hyperlink>
      <w:r w:rsidR="008141F5">
        <w:br/>
      </w:r>
    </w:p>
    <w:p w14:paraId="57F4621D" w14:textId="77777777" w:rsidR="008141F5" w:rsidRDefault="008141F5" w:rsidP="00024FEC"/>
    <w:p w14:paraId="5B4DB612" w14:textId="77777777" w:rsidR="009D717C" w:rsidRDefault="009D717C"/>
    <w:p w14:paraId="72BB032B" w14:textId="77777777" w:rsidR="009D717C" w:rsidRDefault="009D717C"/>
    <w:sectPr w:rsidR="009D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0D2D"/>
    <w:multiLevelType w:val="hybridMultilevel"/>
    <w:tmpl w:val="3C8E9D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646256"/>
    <w:multiLevelType w:val="hybridMultilevel"/>
    <w:tmpl w:val="B24A6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30E07"/>
    <w:multiLevelType w:val="hybridMultilevel"/>
    <w:tmpl w:val="9BC2FB5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2BF32F9"/>
    <w:multiLevelType w:val="hybridMultilevel"/>
    <w:tmpl w:val="6E94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CF2BA0"/>
    <w:multiLevelType w:val="hybridMultilevel"/>
    <w:tmpl w:val="C0DC3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104D7D"/>
    <w:multiLevelType w:val="hybridMultilevel"/>
    <w:tmpl w:val="08284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6718E3"/>
    <w:multiLevelType w:val="hybridMultilevel"/>
    <w:tmpl w:val="E68A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C94173"/>
    <w:multiLevelType w:val="hybridMultilevel"/>
    <w:tmpl w:val="4BA69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B77A79"/>
    <w:multiLevelType w:val="hybridMultilevel"/>
    <w:tmpl w:val="6D9ECE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AF14F2"/>
    <w:multiLevelType w:val="hybridMultilevel"/>
    <w:tmpl w:val="6E46D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98732B"/>
    <w:multiLevelType w:val="hybridMultilevel"/>
    <w:tmpl w:val="2A184D34"/>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1" w15:restartNumberingAfterBreak="0">
    <w:nsid w:val="6DA64619"/>
    <w:multiLevelType w:val="hybridMultilevel"/>
    <w:tmpl w:val="F4E6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71F00"/>
    <w:multiLevelType w:val="hybridMultilevel"/>
    <w:tmpl w:val="D304F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B10AE0"/>
    <w:multiLevelType w:val="hybridMultilevel"/>
    <w:tmpl w:val="D5D031E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B302BBC"/>
    <w:multiLevelType w:val="hybridMultilevel"/>
    <w:tmpl w:val="FF74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105728">
    <w:abstractNumId w:val="11"/>
  </w:num>
  <w:num w:numId="2" w16cid:durableId="1856722995">
    <w:abstractNumId w:val="12"/>
  </w:num>
  <w:num w:numId="3" w16cid:durableId="565186386">
    <w:abstractNumId w:val="13"/>
  </w:num>
  <w:num w:numId="4" w16cid:durableId="111825995">
    <w:abstractNumId w:val="14"/>
  </w:num>
  <w:num w:numId="5" w16cid:durableId="1894729615">
    <w:abstractNumId w:val="1"/>
  </w:num>
  <w:num w:numId="6" w16cid:durableId="1561087197">
    <w:abstractNumId w:val="0"/>
  </w:num>
  <w:num w:numId="7" w16cid:durableId="662592003">
    <w:abstractNumId w:val="9"/>
  </w:num>
  <w:num w:numId="8" w16cid:durableId="17584291">
    <w:abstractNumId w:val="7"/>
  </w:num>
  <w:num w:numId="9" w16cid:durableId="1326393263">
    <w:abstractNumId w:val="4"/>
  </w:num>
  <w:num w:numId="10" w16cid:durableId="1609771418">
    <w:abstractNumId w:val="3"/>
  </w:num>
  <w:num w:numId="11" w16cid:durableId="1672676158">
    <w:abstractNumId w:val="2"/>
  </w:num>
  <w:num w:numId="12" w16cid:durableId="1694720388">
    <w:abstractNumId w:val="5"/>
  </w:num>
  <w:num w:numId="13" w16cid:durableId="581988791">
    <w:abstractNumId w:val="8"/>
  </w:num>
  <w:num w:numId="14" w16cid:durableId="896281667">
    <w:abstractNumId w:val="6"/>
  </w:num>
  <w:num w:numId="15" w16cid:durableId="1877691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A8"/>
    <w:rsid w:val="00024FEC"/>
    <w:rsid w:val="000F0906"/>
    <w:rsid w:val="00236EA8"/>
    <w:rsid w:val="002E19CA"/>
    <w:rsid w:val="00367B06"/>
    <w:rsid w:val="00411C23"/>
    <w:rsid w:val="00522C46"/>
    <w:rsid w:val="005D6227"/>
    <w:rsid w:val="00640BD6"/>
    <w:rsid w:val="0074158C"/>
    <w:rsid w:val="00741A5E"/>
    <w:rsid w:val="007671C7"/>
    <w:rsid w:val="007F6016"/>
    <w:rsid w:val="008141F5"/>
    <w:rsid w:val="00866C35"/>
    <w:rsid w:val="008D3DBA"/>
    <w:rsid w:val="00953E14"/>
    <w:rsid w:val="009D717C"/>
    <w:rsid w:val="00B03F35"/>
    <w:rsid w:val="00BF1A43"/>
    <w:rsid w:val="00C9728B"/>
    <w:rsid w:val="00E94F8D"/>
    <w:rsid w:val="00EB5765"/>
    <w:rsid w:val="00EF5287"/>
    <w:rsid w:val="00F2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FC2F5"/>
  <w15:chartTrackingRefBased/>
  <w15:docId w15:val="{8FABFCC3-EBEA-4E09-977C-C5664997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EA8"/>
    <w:rPr>
      <w:rFonts w:eastAsiaTheme="majorEastAsia" w:cstheme="majorBidi"/>
      <w:color w:val="272727" w:themeColor="text1" w:themeTint="D8"/>
    </w:rPr>
  </w:style>
  <w:style w:type="paragraph" w:styleId="Title">
    <w:name w:val="Title"/>
    <w:basedOn w:val="Normal"/>
    <w:next w:val="Normal"/>
    <w:link w:val="TitleChar"/>
    <w:uiPriority w:val="10"/>
    <w:qFormat/>
    <w:rsid w:val="00236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EA8"/>
    <w:pPr>
      <w:spacing w:before="160"/>
      <w:jc w:val="center"/>
    </w:pPr>
    <w:rPr>
      <w:i/>
      <w:iCs/>
      <w:color w:val="404040" w:themeColor="text1" w:themeTint="BF"/>
    </w:rPr>
  </w:style>
  <w:style w:type="character" w:customStyle="1" w:styleId="QuoteChar">
    <w:name w:val="Quote Char"/>
    <w:basedOn w:val="DefaultParagraphFont"/>
    <w:link w:val="Quote"/>
    <w:uiPriority w:val="29"/>
    <w:rsid w:val="00236EA8"/>
    <w:rPr>
      <w:i/>
      <w:iCs/>
      <w:color w:val="404040" w:themeColor="text1" w:themeTint="BF"/>
    </w:rPr>
  </w:style>
  <w:style w:type="paragraph" w:styleId="ListParagraph">
    <w:name w:val="List Paragraph"/>
    <w:basedOn w:val="Normal"/>
    <w:uiPriority w:val="34"/>
    <w:qFormat/>
    <w:rsid w:val="00236EA8"/>
    <w:pPr>
      <w:ind w:left="720"/>
      <w:contextualSpacing/>
    </w:pPr>
  </w:style>
  <w:style w:type="character" w:styleId="IntenseEmphasis">
    <w:name w:val="Intense Emphasis"/>
    <w:basedOn w:val="DefaultParagraphFont"/>
    <w:uiPriority w:val="21"/>
    <w:qFormat/>
    <w:rsid w:val="00236EA8"/>
    <w:rPr>
      <w:i/>
      <w:iCs/>
      <w:color w:val="0F4761" w:themeColor="accent1" w:themeShade="BF"/>
    </w:rPr>
  </w:style>
  <w:style w:type="paragraph" w:styleId="IntenseQuote">
    <w:name w:val="Intense Quote"/>
    <w:basedOn w:val="Normal"/>
    <w:next w:val="Normal"/>
    <w:link w:val="IntenseQuoteChar"/>
    <w:uiPriority w:val="30"/>
    <w:qFormat/>
    <w:rsid w:val="00236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EA8"/>
    <w:rPr>
      <w:i/>
      <w:iCs/>
      <w:color w:val="0F4761" w:themeColor="accent1" w:themeShade="BF"/>
    </w:rPr>
  </w:style>
  <w:style w:type="character" w:styleId="IntenseReference">
    <w:name w:val="Intense Reference"/>
    <w:basedOn w:val="DefaultParagraphFont"/>
    <w:uiPriority w:val="32"/>
    <w:qFormat/>
    <w:rsid w:val="00236EA8"/>
    <w:rPr>
      <w:b/>
      <w:bCs/>
      <w:smallCaps/>
      <w:color w:val="0F4761" w:themeColor="accent1" w:themeShade="BF"/>
      <w:spacing w:val="5"/>
    </w:rPr>
  </w:style>
  <w:style w:type="character" w:styleId="Hyperlink">
    <w:name w:val="Hyperlink"/>
    <w:basedOn w:val="DefaultParagraphFont"/>
    <w:uiPriority w:val="99"/>
    <w:unhideWhenUsed/>
    <w:rsid w:val="00640BD6"/>
    <w:rPr>
      <w:color w:val="467886" w:themeColor="hyperlink"/>
      <w:u w:val="single"/>
    </w:rPr>
  </w:style>
  <w:style w:type="character" w:styleId="UnresolvedMention">
    <w:name w:val="Unresolved Mention"/>
    <w:basedOn w:val="DefaultParagraphFont"/>
    <w:uiPriority w:val="99"/>
    <w:semiHidden/>
    <w:unhideWhenUsed/>
    <w:rsid w:val="00640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856652">
      <w:bodyDiv w:val="1"/>
      <w:marLeft w:val="0"/>
      <w:marRight w:val="0"/>
      <w:marTop w:val="0"/>
      <w:marBottom w:val="0"/>
      <w:divBdr>
        <w:top w:val="none" w:sz="0" w:space="0" w:color="auto"/>
        <w:left w:val="none" w:sz="0" w:space="0" w:color="auto"/>
        <w:bottom w:val="none" w:sz="0" w:space="0" w:color="auto"/>
        <w:right w:val="none" w:sz="0" w:space="0" w:color="auto"/>
      </w:divBdr>
    </w:div>
    <w:div w:id="17309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 TargetMode="External"/><Relationship Id="rId3" Type="http://schemas.openxmlformats.org/officeDocument/2006/relationships/settings" Target="settings.xml"/><Relationship Id="rId7" Type="http://schemas.openxmlformats.org/officeDocument/2006/relationships/hyperlink" Target="https://www.legislation.gov.uk/ukpga/1990/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s.gov.uk/legal-guidance/blackmai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ps.gov.uk/legal-guidance/conspiracy" TargetMode="External"/><Relationship Id="rId4" Type="http://schemas.openxmlformats.org/officeDocument/2006/relationships/webSettings" Target="webSettings.xml"/><Relationship Id="rId9" Type="http://schemas.openxmlformats.org/officeDocument/2006/relationships/hyperlink" Target="https://www.legislation.gov.uk/ukpga/199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721</Words>
  <Characters>4584</Characters>
  <Application>Microsoft Office Word</Application>
  <DocSecurity>0</DocSecurity>
  <Lines>109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Chaurasiya (Student)</dc:creator>
  <cp:keywords/>
  <dc:description/>
  <cp:lastModifiedBy>Sidhant Chaurasiya (Student)</cp:lastModifiedBy>
  <cp:revision>10</cp:revision>
  <dcterms:created xsi:type="dcterms:W3CDTF">2024-12-19T05:46:00Z</dcterms:created>
  <dcterms:modified xsi:type="dcterms:W3CDTF">2024-12-24T12:39:00Z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b71eef46-4b7a-4596-8347-2f6e7b9b94cf</vt:lpwstr>
  </property>
</Properties>
</file>