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bookmarkStart w:id="0" w:name="_GoBack"/>
      <w:bookmarkEnd w:id="0"/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>Another possible t</w:t>
      </w:r>
      <w:r w:rsidR="00571C9A">
        <w:t>able/g</w:t>
      </w:r>
      <w:r w:rsidR="00852405">
        <w:t>raph we could create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cancelled.  While this is not surprising,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AD" w:rsidRDefault="00DC36AD" w:rsidP="00114420">
      <w:pPr>
        <w:spacing w:after="0" w:line="240" w:lineRule="auto"/>
      </w:pPr>
      <w:r>
        <w:separator/>
      </w:r>
    </w:p>
  </w:endnote>
  <w:endnote w:type="continuationSeparator" w:id="0">
    <w:p w:rsidR="00DC36AD" w:rsidRDefault="00DC36AD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AD" w:rsidRDefault="00DC36AD" w:rsidP="00114420">
      <w:pPr>
        <w:spacing w:after="0" w:line="240" w:lineRule="auto"/>
      </w:pPr>
      <w:r>
        <w:separator/>
      </w:r>
    </w:p>
  </w:footnote>
  <w:footnote w:type="continuationSeparator" w:id="0">
    <w:p w:rsidR="00DC36AD" w:rsidRDefault="00DC36AD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920B78"/>
    <w:rsid w:val="00957988"/>
    <w:rsid w:val="00962E29"/>
    <w:rsid w:val="00977164"/>
    <w:rsid w:val="009C0A77"/>
    <w:rsid w:val="00AB3B7E"/>
    <w:rsid w:val="00C7132B"/>
    <w:rsid w:val="00C72920"/>
    <w:rsid w:val="00D545E8"/>
    <w:rsid w:val="00D8442C"/>
    <w:rsid w:val="00DC33BA"/>
    <w:rsid w:val="00DC36AD"/>
    <w:rsid w:val="00DD2671"/>
    <w:rsid w:val="00E17CAF"/>
    <w:rsid w:val="00E6033B"/>
    <w:rsid w:val="00EA3F6E"/>
    <w:rsid w:val="00EA50EA"/>
    <w:rsid w:val="00F0057D"/>
    <w:rsid w:val="00F02A92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6</cp:revision>
  <dcterms:created xsi:type="dcterms:W3CDTF">2020-09-20T22:13:00Z</dcterms:created>
  <dcterms:modified xsi:type="dcterms:W3CDTF">2020-09-20T23:42:00Z</dcterms:modified>
</cp:coreProperties>
</file>