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9F12FD" w:rsidRDefault="00AF0D49" w:rsidP="00AF0D49">
      <w:pPr>
        <w:jc w:val="center"/>
        <w:rPr>
          <w:rFonts w:asciiTheme="majorHAnsi" w:hAnsiTheme="majorHAnsi"/>
          <w:lang w:val="en-GB"/>
        </w:rPr>
      </w:pPr>
      <w:r w:rsidRPr="009F12FD">
        <w:rPr>
          <w:rFonts w:asciiTheme="majorHAnsi" w:hAnsiTheme="majorHAnsi"/>
          <w:noProof/>
          <w:lang w:val="en-GB"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9F12FD" w:rsidRDefault="00F36088" w:rsidP="009F12FD">
      <w:pPr>
        <w:pStyle w:val="Cmsor1"/>
        <w:jc w:val="center"/>
        <w:rPr>
          <w:lang w:val="en-GB"/>
        </w:rPr>
      </w:pPr>
      <w:r w:rsidRPr="009F12FD">
        <w:rPr>
          <w:rFonts w:eastAsia="Times New Roman"/>
          <w:lang w:val="en-GB"/>
        </w:rPr>
        <w:t xml:space="preserve">C1 </w:t>
      </w:r>
      <w:r w:rsidR="00AB1CC9" w:rsidRPr="009F12FD">
        <w:rPr>
          <w:rFonts w:eastAsia="Times New Roman"/>
          <w:lang w:val="en-GB"/>
        </w:rPr>
        <w:t>C-section rate</w:t>
      </w:r>
    </w:p>
    <w:p w:rsidR="00EA06D9" w:rsidRPr="009F12FD" w:rsidRDefault="00EA06D9" w:rsidP="00EA06D9">
      <w:pPr>
        <w:jc w:val="center"/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2518"/>
        <w:gridCol w:w="6694"/>
      </w:tblGrid>
      <w:tr w:rsidR="00AF0D49" w:rsidRPr="009F12FD" w:rsidTr="009F12FD">
        <w:trPr>
          <w:cnfStyle w:val="100000000000"/>
        </w:trPr>
        <w:tc>
          <w:tcPr>
            <w:cnfStyle w:val="0010000001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lang w:val="en-GB"/>
              </w:rPr>
            </w:pPr>
            <w:bookmarkStart w:id="0" w:name="_Ref248808447"/>
            <w:r w:rsidRPr="009F12FD">
              <w:rPr>
                <w:rFonts w:cs="Arial"/>
                <w:lang w:val="en-GB"/>
              </w:rPr>
              <w:t>Short name</w:t>
            </w:r>
            <w:bookmarkEnd w:id="0"/>
          </w:p>
        </w:tc>
        <w:tc>
          <w:tcPr>
            <w:tcW w:w="6694" w:type="dxa"/>
          </w:tcPr>
          <w:p w:rsidR="00AF0D49" w:rsidRPr="009F12FD" w:rsidRDefault="00EA06D9" w:rsidP="009F12FD">
            <w:pPr>
              <w:tabs>
                <w:tab w:val="left" w:pos="72"/>
              </w:tabs>
              <w:spacing w:before="120" w:after="120"/>
              <w:ind w:left="72"/>
              <w:jc w:val="both"/>
              <w:cnfStyle w:val="100000000000"/>
              <w:rPr>
                <w:lang w:val="en-GB"/>
              </w:rPr>
            </w:pPr>
            <w:r w:rsidRPr="009F12FD">
              <w:rPr>
                <w:lang w:val="en-GB"/>
              </w:rPr>
              <w:t>C-section rate</w:t>
            </w:r>
          </w:p>
        </w:tc>
      </w:tr>
      <w:tr w:rsidR="00AF0D49" w:rsidRPr="009F12FD" w:rsidTr="009F12FD">
        <w:trPr>
          <w:cnfStyle w:val="000000100000"/>
        </w:trPr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lang w:val="en-GB"/>
              </w:rPr>
            </w:pPr>
            <w:bookmarkStart w:id="1" w:name="_Ref248811004"/>
            <w:r w:rsidRPr="009F12FD">
              <w:rPr>
                <w:lang w:val="en-GB"/>
              </w:rPr>
              <w:t>Detailed name</w:t>
            </w:r>
            <w:bookmarkEnd w:id="1"/>
          </w:p>
        </w:tc>
        <w:tc>
          <w:tcPr>
            <w:tcW w:w="6694" w:type="dxa"/>
          </w:tcPr>
          <w:p w:rsidR="00AF0D49" w:rsidRPr="009F12FD" w:rsidRDefault="00EA06D9" w:rsidP="009F12F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9F12FD">
              <w:rPr>
                <w:rFonts w:eastAsia="Calibri" w:cs="Times New Roman"/>
                <w:lang w:val="en-GB"/>
              </w:rPr>
              <w:t>Rate of c-section after exclusion of deliveries with high risk of c-section</w:t>
            </w:r>
          </w:p>
        </w:tc>
      </w:tr>
      <w:tr w:rsidR="00AF0D49" w:rsidRPr="009F12FD" w:rsidTr="009F12FD"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lang w:val="en-GB"/>
              </w:rPr>
            </w:pPr>
            <w:bookmarkStart w:id="2" w:name="_Ref248811077"/>
            <w:r w:rsidRPr="009F12FD">
              <w:rPr>
                <w:lang w:val="en-GB"/>
              </w:rPr>
              <w:t>Short definition</w:t>
            </w:r>
            <w:bookmarkEnd w:id="2"/>
          </w:p>
        </w:tc>
        <w:tc>
          <w:tcPr>
            <w:tcW w:w="6694" w:type="dxa"/>
          </w:tcPr>
          <w:p w:rsidR="00AF0D49" w:rsidRPr="009F12FD" w:rsidRDefault="00EA06D9" w:rsidP="009F12F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9F12FD">
              <w:rPr>
                <w:rFonts w:eastAsia="Calibri" w:cs="Times New Roman"/>
                <w:lang w:val="en-GB"/>
              </w:rPr>
              <w:t>Number of c-section over the total number of live births, expressed as a percentage. Categories of deliveries with a high risk of c-section are excluded</w:t>
            </w:r>
            <w:r w:rsidRPr="009F12FD">
              <w:rPr>
                <w:lang w:val="en-GB"/>
              </w:rPr>
              <w:t>.</w:t>
            </w:r>
          </w:p>
        </w:tc>
      </w:tr>
      <w:tr w:rsidR="00AF0D49" w:rsidRPr="009F12FD" w:rsidTr="009F12FD">
        <w:trPr>
          <w:cnfStyle w:val="000000100000"/>
        </w:trPr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lang w:val="en-GB"/>
              </w:rPr>
            </w:pPr>
            <w:bookmarkStart w:id="3" w:name="_Ref248811235"/>
            <w:r w:rsidRPr="009F12FD">
              <w:rPr>
                <w:lang w:val="en-GB"/>
              </w:rPr>
              <w:t>Type of indicator</w:t>
            </w:r>
            <w:bookmarkEnd w:id="3"/>
          </w:p>
        </w:tc>
        <w:tc>
          <w:tcPr>
            <w:tcW w:w="6694" w:type="dxa"/>
          </w:tcPr>
          <w:p w:rsidR="00AF0D49" w:rsidRPr="009F12FD" w:rsidRDefault="00EA06D9" w:rsidP="009F12F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9F12FD">
              <w:rPr>
                <w:rFonts w:cs="Arial"/>
                <w:lang w:val="en-GB"/>
              </w:rPr>
              <w:t>Pr</w:t>
            </w:r>
            <w:r w:rsidR="00FB08D7" w:rsidRPr="009F12FD">
              <w:rPr>
                <w:rFonts w:cs="Arial"/>
                <w:lang w:val="en-GB"/>
              </w:rPr>
              <w:t xml:space="preserve">ocess </w:t>
            </w:r>
            <w:r w:rsidR="00A9723D" w:rsidRPr="009F12FD">
              <w:rPr>
                <w:rFonts w:cs="Arial"/>
                <w:lang w:val="en-GB"/>
              </w:rPr>
              <w:t xml:space="preserve"> </w:t>
            </w:r>
            <w:r w:rsidR="00AF0D49" w:rsidRPr="009F12FD">
              <w:rPr>
                <w:rFonts w:cs="Arial"/>
                <w:lang w:val="en-GB"/>
              </w:rPr>
              <w:t>measure</w:t>
            </w:r>
          </w:p>
        </w:tc>
      </w:tr>
      <w:tr w:rsidR="00331034" w:rsidRPr="009F12FD" w:rsidTr="009F12FD">
        <w:tc>
          <w:tcPr>
            <w:cnfStyle w:val="001000000000"/>
            <w:tcW w:w="2518" w:type="dxa"/>
          </w:tcPr>
          <w:p w:rsidR="00331034" w:rsidRPr="009F12FD" w:rsidRDefault="00331034" w:rsidP="009F12FD">
            <w:pPr>
              <w:spacing w:before="120" w:after="120"/>
              <w:rPr>
                <w:rFonts w:cs="Arial"/>
                <w:iCs/>
                <w:lang w:val="en-GB"/>
              </w:rPr>
            </w:pPr>
            <w:bookmarkStart w:id="4" w:name="_Ref248811212"/>
            <w:r w:rsidRPr="009F12FD">
              <w:rPr>
                <w:lang w:val="en-GB"/>
              </w:rPr>
              <w:t>Domain</w:t>
            </w:r>
            <w:bookmarkEnd w:id="4"/>
          </w:p>
        </w:tc>
        <w:tc>
          <w:tcPr>
            <w:tcW w:w="6694" w:type="dxa"/>
          </w:tcPr>
          <w:p w:rsidR="00331034" w:rsidRPr="009F12FD" w:rsidRDefault="00FB08D7" w:rsidP="009F12FD">
            <w:pPr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9F12FD">
              <w:rPr>
                <w:rFonts w:eastAsia="Calibri" w:cs="Arial"/>
                <w:lang w:val="en-GB"/>
              </w:rPr>
              <w:t>Clinical effectiveness</w:t>
            </w:r>
            <w:r w:rsidRPr="009F12FD">
              <w:rPr>
                <w:rFonts w:cs="Arial"/>
                <w:lang w:val="en-GB"/>
              </w:rPr>
              <w:t xml:space="preserve">, </w:t>
            </w:r>
            <w:r w:rsidRPr="009F12FD">
              <w:rPr>
                <w:rFonts w:eastAsia="Calibri" w:cs="Arial"/>
                <w:lang w:val="en-GB"/>
              </w:rPr>
              <w:t>Patient safety</w:t>
            </w:r>
            <w:r w:rsidRPr="009F12FD">
              <w:rPr>
                <w:rFonts w:cs="Arial"/>
                <w:lang w:val="en-GB"/>
              </w:rPr>
              <w:t xml:space="preserve">, </w:t>
            </w:r>
            <w:r w:rsidR="001D3656" w:rsidRPr="009F12FD">
              <w:rPr>
                <w:rFonts w:eastAsia="Calibri" w:cs="Arial"/>
                <w:lang w:val="en-GB"/>
              </w:rPr>
              <w:t>Efficiency,</w:t>
            </w:r>
            <w:r w:rsidRPr="009F12FD">
              <w:rPr>
                <w:rFonts w:eastAsia="Calibri" w:cs="Arial"/>
                <w:lang w:val="en-GB"/>
              </w:rPr>
              <w:t xml:space="preserve"> Responsive governance</w:t>
            </w:r>
            <w:r w:rsidRPr="009F12FD">
              <w:rPr>
                <w:rFonts w:cs="Arial"/>
                <w:lang w:val="en-GB"/>
              </w:rPr>
              <w:t xml:space="preserve">, </w:t>
            </w:r>
            <w:r w:rsidRPr="009F12FD">
              <w:rPr>
                <w:rFonts w:eastAsia="Calibri" w:cs="Arial"/>
                <w:lang w:val="en-GB"/>
              </w:rPr>
              <w:t>Patient centeredness</w:t>
            </w:r>
          </w:p>
        </w:tc>
      </w:tr>
      <w:tr w:rsidR="00AF0D49" w:rsidRPr="009F12FD" w:rsidTr="009F12FD">
        <w:trPr>
          <w:cnfStyle w:val="000000100000"/>
        </w:trPr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9F12FD">
              <w:rPr>
                <w:rFonts w:cs="Arial"/>
                <w:iCs/>
                <w:lang w:val="en-GB"/>
              </w:rPr>
              <w:t>Numerator</w:t>
            </w:r>
          </w:p>
          <w:p w:rsidR="00AF0D49" w:rsidRPr="009F12FD" w:rsidRDefault="00AF0D49" w:rsidP="009F12FD">
            <w:pPr>
              <w:spacing w:before="120" w:after="120"/>
              <w:rPr>
                <w:lang w:val="en-GB"/>
              </w:rPr>
            </w:pPr>
          </w:p>
        </w:tc>
        <w:tc>
          <w:tcPr>
            <w:tcW w:w="6694" w:type="dxa"/>
          </w:tcPr>
          <w:p w:rsidR="00AF0D49" w:rsidRPr="009F12FD" w:rsidRDefault="00FB08D7" w:rsidP="009F12FD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9F12FD">
              <w:rPr>
                <w:rFonts w:eastAsia="Calibri" w:cs="Arial"/>
                <w:iCs/>
                <w:lang w:val="en-GB"/>
              </w:rPr>
              <w:t>Total number of deliveries at the denominator with c-section as procedure code</w:t>
            </w:r>
            <w:r w:rsidRPr="009F12FD">
              <w:rPr>
                <w:rFonts w:cs="Arial"/>
                <w:iCs/>
                <w:lang w:val="en-GB"/>
              </w:rPr>
              <w:t xml:space="preserve"> (see below)</w:t>
            </w:r>
          </w:p>
        </w:tc>
      </w:tr>
      <w:tr w:rsidR="00AF0D49" w:rsidRPr="009F12FD" w:rsidTr="009F12FD"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9F12FD">
              <w:rPr>
                <w:rFonts w:cs="Arial"/>
                <w:iCs/>
                <w:lang w:val="en-GB"/>
              </w:rPr>
              <w:t>Denominator</w:t>
            </w:r>
          </w:p>
        </w:tc>
        <w:tc>
          <w:tcPr>
            <w:tcW w:w="6694" w:type="dxa"/>
          </w:tcPr>
          <w:p w:rsidR="00AF0D49" w:rsidRPr="009F12FD" w:rsidRDefault="00FB08D7" w:rsidP="009F12FD">
            <w:pPr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9F12FD">
              <w:rPr>
                <w:rFonts w:eastAsia="Calibri" w:cs="Arial"/>
                <w:iCs/>
                <w:lang w:val="en-GB"/>
              </w:rPr>
              <w:t>Total number of deliveries</w:t>
            </w:r>
          </w:p>
        </w:tc>
      </w:tr>
      <w:tr w:rsidR="00AF0D49" w:rsidRPr="009F12FD" w:rsidTr="009F12FD">
        <w:trPr>
          <w:cnfStyle w:val="000000100000"/>
        </w:trPr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9F12FD">
              <w:rPr>
                <w:rFonts w:cs="Arial"/>
                <w:iCs/>
                <w:lang w:val="en-GB"/>
              </w:rPr>
              <w:t>Exclusion</w:t>
            </w:r>
          </w:p>
        </w:tc>
        <w:tc>
          <w:tcPr>
            <w:tcW w:w="6694" w:type="dxa"/>
          </w:tcPr>
          <w:p w:rsidR="00AF0D49" w:rsidRPr="009F12FD" w:rsidRDefault="00FB08D7" w:rsidP="009F12FD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9F12FD">
              <w:rPr>
                <w:rFonts w:eastAsia="Calibri" w:cs="Arial"/>
                <w:iCs/>
                <w:lang w:val="en-GB"/>
              </w:rPr>
              <w:t>Delivery before the 37</w:t>
            </w:r>
            <w:r w:rsidRPr="009F12FD">
              <w:rPr>
                <w:rFonts w:eastAsia="Calibri" w:cs="Arial"/>
                <w:iCs/>
                <w:vertAlign w:val="superscript"/>
                <w:lang w:val="en-GB"/>
              </w:rPr>
              <w:t>th</w:t>
            </w:r>
            <w:r w:rsidRPr="009F12FD">
              <w:rPr>
                <w:rFonts w:eastAsia="Calibri" w:cs="Arial"/>
                <w:iCs/>
                <w:lang w:val="en-GB"/>
              </w:rPr>
              <w:t xml:space="preserve"> week of gestation, foetal death, multiple gestation, breech procedure, abnormal presentation</w:t>
            </w:r>
            <w:r w:rsidRPr="009F12FD">
              <w:rPr>
                <w:rFonts w:cs="Arial"/>
                <w:iCs/>
                <w:lang w:val="en-GB"/>
              </w:rPr>
              <w:t xml:space="preserve"> (codes see below)</w:t>
            </w:r>
          </w:p>
        </w:tc>
      </w:tr>
      <w:tr w:rsidR="00AF0D49" w:rsidRPr="009F12FD" w:rsidTr="009F12FD"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lang w:val="en-GB"/>
              </w:rPr>
            </w:pPr>
            <w:r w:rsidRPr="009F12FD">
              <w:rPr>
                <w:lang w:val="en-GB"/>
              </w:rPr>
              <w:t>Dimension</w:t>
            </w:r>
          </w:p>
        </w:tc>
        <w:tc>
          <w:tcPr>
            <w:tcW w:w="6694" w:type="dxa"/>
          </w:tcPr>
          <w:p w:rsidR="00AF0D49" w:rsidRPr="009F12FD" w:rsidRDefault="009F12FD" w:rsidP="009F12F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9F12FD">
              <w:rPr>
                <w:lang w:val="en-GB"/>
              </w:rPr>
              <w:t>Percen</w:t>
            </w:r>
            <w:r>
              <w:rPr>
                <w:lang w:val="en-GB"/>
              </w:rPr>
              <w:t>t</w:t>
            </w:r>
          </w:p>
        </w:tc>
      </w:tr>
      <w:tr w:rsidR="00AF0D49" w:rsidRPr="009F12FD" w:rsidTr="009F12FD">
        <w:trPr>
          <w:cnfStyle w:val="000000100000"/>
        </w:trPr>
        <w:tc>
          <w:tcPr>
            <w:cnfStyle w:val="001000000000"/>
            <w:tcW w:w="2518" w:type="dxa"/>
          </w:tcPr>
          <w:p w:rsidR="00AF0D49" w:rsidRPr="009F12FD" w:rsidRDefault="00AF0D49" w:rsidP="009F12FD">
            <w:pPr>
              <w:spacing w:before="120" w:after="120"/>
              <w:rPr>
                <w:lang w:val="en-GB"/>
              </w:rPr>
            </w:pPr>
            <w:bookmarkStart w:id="5" w:name="_Ref248811177"/>
            <w:r w:rsidRPr="009F12FD">
              <w:rPr>
                <w:lang w:val="en-GB"/>
              </w:rPr>
              <w:t>Data source</w:t>
            </w:r>
            <w:bookmarkEnd w:id="5"/>
          </w:p>
          <w:p w:rsidR="00331034" w:rsidRPr="009F12FD" w:rsidRDefault="00331034" w:rsidP="009F12FD">
            <w:pPr>
              <w:spacing w:before="120" w:after="120"/>
              <w:rPr>
                <w:lang w:val="en-GB"/>
              </w:rPr>
            </w:pPr>
          </w:p>
        </w:tc>
        <w:tc>
          <w:tcPr>
            <w:tcW w:w="6694" w:type="dxa"/>
          </w:tcPr>
          <w:p w:rsidR="00AF0D49" w:rsidRPr="009F12FD" w:rsidRDefault="00A9723D" w:rsidP="009F12FD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lang w:val="en-GB"/>
              </w:rPr>
            </w:pPr>
            <w:r w:rsidRPr="009F12FD">
              <w:rPr>
                <w:rFonts w:cs="Arial"/>
                <w:lang w:val="en-GB"/>
              </w:rPr>
              <w:t>Retrospective data collection.</w:t>
            </w:r>
            <w:r w:rsidR="00FB08D7" w:rsidRPr="009F12FD">
              <w:rPr>
                <w:rFonts w:cs="Arial"/>
                <w:lang w:val="en-GB"/>
              </w:rPr>
              <w:t xml:space="preserve"> Patient level data are needed for the evaluation. </w:t>
            </w:r>
            <w:r w:rsidRPr="009F12FD">
              <w:rPr>
                <w:rFonts w:cs="Arial"/>
                <w:lang w:val="en-GB"/>
              </w:rPr>
              <w:t xml:space="preserve"> Administrative databases (e</w:t>
            </w:r>
            <w:r w:rsidR="009F12FD">
              <w:rPr>
                <w:rFonts w:cs="Arial"/>
                <w:lang w:val="en-GB"/>
              </w:rPr>
              <w:t>.</w:t>
            </w:r>
            <w:r w:rsidRPr="009F12FD">
              <w:rPr>
                <w:rFonts w:cs="Arial"/>
                <w:lang w:val="en-GB"/>
              </w:rPr>
              <w:t>g. discharge abstracts).</w:t>
            </w:r>
            <w:r w:rsidR="00447941" w:rsidRPr="009F12FD">
              <w:rPr>
                <w:rFonts w:eastAsia="Calibri" w:cs="Arial"/>
                <w:lang w:val="en-GB"/>
              </w:rPr>
              <w:t xml:space="preserve"> Compute the indicator on three</w:t>
            </w:r>
            <w:r w:rsidR="00467D77" w:rsidRPr="009F12FD">
              <w:rPr>
                <w:rFonts w:eastAsia="Calibri" w:cs="Arial"/>
                <w:lang w:val="en-GB"/>
              </w:rPr>
              <w:t xml:space="preserve"> full</w:t>
            </w:r>
            <w:r w:rsidR="00447941" w:rsidRPr="009F12FD">
              <w:rPr>
                <w:rFonts w:eastAsia="Calibri" w:cs="Arial"/>
                <w:lang w:val="en-GB"/>
              </w:rPr>
              <w:t xml:space="preserve"> years/same period</w:t>
            </w:r>
            <w:r w:rsidR="00467D77" w:rsidRPr="009F12FD">
              <w:rPr>
                <w:rFonts w:eastAsia="Calibri" w:cs="Arial"/>
                <w:lang w:val="en-GB"/>
              </w:rPr>
              <w:t xml:space="preserve"> of three years</w:t>
            </w:r>
            <w:r w:rsidR="00447941" w:rsidRPr="009F12FD">
              <w:rPr>
                <w:rFonts w:eastAsia="Calibri" w:cs="Arial"/>
                <w:lang w:val="en-GB"/>
              </w:rPr>
              <w:t xml:space="preserve"> to identify potential trends. (</w:t>
            </w:r>
            <w:proofErr w:type="gramStart"/>
            <w:r w:rsidR="00447941" w:rsidRPr="009F12FD">
              <w:rPr>
                <w:rFonts w:eastAsia="Calibri" w:cs="Arial"/>
                <w:lang w:val="en-GB"/>
              </w:rPr>
              <w:t>e.</w:t>
            </w:r>
            <w:r w:rsidR="00447941" w:rsidRPr="009F12FD">
              <w:rPr>
                <w:rFonts w:cs="Arial"/>
                <w:lang w:val="en-GB"/>
              </w:rPr>
              <w:t>g</w:t>
            </w:r>
            <w:proofErr w:type="gramEnd"/>
            <w:r w:rsidR="00447941" w:rsidRPr="009F12FD">
              <w:rPr>
                <w:rFonts w:cs="Arial"/>
                <w:lang w:val="en-GB"/>
              </w:rPr>
              <w:t xml:space="preserve">. October and February </w:t>
            </w:r>
            <w:r w:rsidR="00467D77" w:rsidRPr="009F12FD">
              <w:rPr>
                <w:rFonts w:cs="Arial"/>
                <w:lang w:val="en-GB"/>
              </w:rPr>
              <w:t>2009, 2010 and 2011)</w:t>
            </w:r>
            <w:r w:rsidR="00447941" w:rsidRPr="009F12FD">
              <w:rPr>
                <w:rFonts w:cs="Arial"/>
                <w:lang w:val="en-GB"/>
              </w:rPr>
              <w:t xml:space="preserve">. </w:t>
            </w:r>
          </w:p>
        </w:tc>
      </w:tr>
      <w:tr w:rsidR="00FA079F" w:rsidRPr="009F12FD" w:rsidTr="009F12FD">
        <w:tc>
          <w:tcPr>
            <w:cnfStyle w:val="001000000000"/>
            <w:tcW w:w="2518" w:type="dxa"/>
          </w:tcPr>
          <w:p w:rsidR="00FA079F" w:rsidRPr="009F12FD" w:rsidRDefault="00FA079F" w:rsidP="009F12FD">
            <w:pPr>
              <w:spacing w:before="120" w:after="120"/>
              <w:rPr>
                <w:lang w:val="en-GB"/>
              </w:rPr>
            </w:pPr>
            <w:r w:rsidRPr="009F12FD">
              <w:rPr>
                <w:lang w:val="en-GB"/>
              </w:rPr>
              <w:t>Minimum case number</w:t>
            </w:r>
          </w:p>
        </w:tc>
        <w:tc>
          <w:tcPr>
            <w:tcW w:w="6694" w:type="dxa"/>
          </w:tcPr>
          <w:p w:rsidR="00FA079F" w:rsidRPr="009F12FD" w:rsidRDefault="00A9723D" w:rsidP="009F12F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9F12FD">
              <w:rPr>
                <w:rFonts w:cs="Arial"/>
                <w:lang w:val="en-GB"/>
              </w:rPr>
              <w:t>60</w:t>
            </w:r>
            <w:r w:rsidR="00FA079F" w:rsidRPr="009F12FD">
              <w:rPr>
                <w:rFonts w:cs="Arial"/>
                <w:lang w:val="en-GB"/>
              </w:rPr>
              <w:t xml:space="preserve"> consecutive patients per period</w:t>
            </w:r>
            <w:r w:rsidR="0018690D" w:rsidRPr="009F12FD">
              <w:rPr>
                <w:rFonts w:cs="Arial"/>
                <w:lang w:val="en-GB"/>
              </w:rPr>
              <w:t xml:space="preserve"> meeting the exclusion and inclusion criteria</w:t>
            </w:r>
          </w:p>
        </w:tc>
      </w:tr>
      <w:tr w:rsidR="00331034" w:rsidRPr="009F12FD" w:rsidTr="009F12FD">
        <w:trPr>
          <w:cnfStyle w:val="000000100000"/>
        </w:trPr>
        <w:tc>
          <w:tcPr>
            <w:cnfStyle w:val="001000000000"/>
            <w:tcW w:w="2518" w:type="dxa"/>
          </w:tcPr>
          <w:p w:rsidR="00331034" w:rsidRPr="009F12FD" w:rsidRDefault="00331034" w:rsidP="009F12FD">
            <w:pPr>
              <w:spacing w:before="120" w:after="120"/>
              <w:rPr>
                <w:lang w:val="en-GB"/>
              </w:rPr>
            </w:pPr>
            <w:proofErr w:type="spellStart"/>
            <w:r w:rsidRPr="009F12FD">
              <w:rPr>
                <w:lang w:val="en-GB"/>
              </w:rPr>
              <w:t>Subindicators</w:t>
            </w:r>
            <w:proofErr w:type="spellEnd"/>
          </w:p>
        </w:tc>
        <w:tc>
          <w:tcPr>
            <w:tcW w:w="6694" w:type="dxa"/>
          </w:tcPr>
          <w:p w:rsidR="007C0739" w:rsidRPr="009F12FD" w:rsidRDefault="007C0739" w:rsidP="009F12FD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cnfStyle w:val="000000100000"/>
              <w:rPr>
                <w:rFonts w:eastAsia="Calibri" w:cs="Arial"/>
                <w:lang w:val="en-GB"/>
              </w:rPr>
            </w:pPr>
            <w:r w:rsidRPr="009F12FD">
              <w:rPr>
                <w:rFonts w:eastAsia="Calibri" w:cs="Arial"/>
                <w:lang w:val="en-GB"/>
              </w:rPr>
              <w:t>By age categories of the mother (less 20, 20-35, more 35).</w:t>
            </w:r>
          </w:p>
          <w:p w:rsidR="007C0739" w:rsidRPr="009F12FD" w:rsidRDefault="007C0739" w:rsidP="009F12FD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cnfStyle w:val="000000100000"/>
              <w:rPr>
                <w:lang w:val="en-GB"/>
              </w:rPr>
            </w:pPr>
            <w:r w:rsidRPr="009F12FD">
              <w:rPr>
                <w:rFonts w:eastAsia="Calibri" w:cs="Arial"/>
                <w:lang w:val="en-GB"/>
              </w:rPr>
              <w:t xml:space="preserve">By elective vs. emergency </w:t>
            </w:r>
          </w:p>
          <w:p w:rsidR="00A9723D" w:rsidRPr="009F12FD" w:rsidRDefault="007C0739" w:rsidP="009F12FD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cnfStyle w:val="000000100000"/>
              <w:rPr>
                <w:lang w:val="en-GB"/>
              </w:rPr>
            </w:pPr>
            <w:r w:rsidRPr="009F12FD">
              <w:rPr>
                <w:rFonts w:eastAsia="Calibri" w:cs="Arial"/>
                <w:lang w:val="en-GB"/>
              </w:rPr>
              <w:t>By parity (primary/not).</w:t>
            </w:r>
          </w:p>
        </w:tc>
      </w:tr>
      <w:tr w:rsidR="00331034" w:rsidRPr="009F12FD" w:rsidTr="009F12FD">
        <w:tc>
          <w:tcPr>
            <w:cnfStyle w:val="001000000000"/>
            <w:tcW w:w="2518" w:type="dxa"/>
          </w:tcPr>
          <w:p w:rsidR="00331034" w:rsidRPr="009F12FD" w:rsidRDefault="00331034" w:rsidP="009F12FD">
            <w:pPr>
              <w:spacing w:before="120" w:after="120"/>
              <w:rPr>
                <w:lang w:val="en-GB"/>
              </w:rPr>
            </w:pPr>
            <w:bookmarkStart w:id="6" w:name="_Ref248811246"/>
            <w:r w:rsidRPr="009F12FD">
              <w:rPr>
                <w:lang w:val="en-GB"/>
              </w:rPr>
              <w:t>Adjustment/ stratification</w:t>
            </w:r>
            <w:bookmarkEnd w:id="6"/>
          </w:p>
        </w:tc>
        <w:tc>
          <w:tcPr>
            <w:tcW w:w="6694" w:type="dxa"/>
          </w:tcPr>
          <w:p w:rsidR="00331034" w:rsidRPr="009F12FD" w:rsidRDefault="00A9723D" w:rsidP="009F12F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9F12FD">
              <w:rPr>
                <w:lang w:val="en-GB"/>
              </w:rPr>
              <w:t>-</w:t>
            </w:r>
          </w:p>
        </w:tc>
      </w:tr>
      <w:tr w:rsidR="00331034" w:rsidRPr="009F12FD" w:rsidTr="009F12FD">
        <w:trPr>
          <w:cnfStyle w:val="000000100000"/>
        </w:trPr>
        <w:tc>
          <w:tcPr>
            <w:cnfStyle w:val="001000000000"/>
            <w:tcW w:w="2518" w:type="dxa"/>
          </w:tcPr>
          <w:p w:rsidR="00331034" w:rsidRPr="009F12FD" w:rsidRDefault="00331034" w:rsidP="009F12FD">
            <w:pPr>
              <w:spacing w:before="120" w:after="120"/>
              <w:rPr>
                <w:lang w:val="en-GB"/>
              </w:rPr>
            </w:pPr>
            <w:r w:rsidRPr="009F12FD">
              <w:rPr>
                <w:lang w:val="en-GB"/>
              </w:rPr>
              <w:t>Interpretation</w:t>
            </w:r>
          </w:p>
        </w:tc>
        <w:tc>
          <w:tcPr>
            <w:tcW w:w="6694" w:type="dxa"/>
          </w:tcPr>
          <w:p w:rsidR="00331034" w:rsidRPr="009F12FD" w:rsidRDefault="007C0739" w:rsidP="009F12FD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lang w:val="en-GB"/>
              </w:rPr>
            </w:pPr>
            <w:r w:rsidRPr="009F12FD">
              <w:rPr>
                <w:rFonts w:eastAsia="Calibri" w:cs="Arial"/>
                <w:lang w:val="en-GB"/>
              </w:rPr>
              <w:t xml:space="preserve">Limit: Because of the numerous factors that affect the rate of c-section and because there is no “gold standard” on optimal c-section rate, this </w:t>
            </w:r>
            <w:r w:rsidRPr="009F12FD">
              <w:rPr>
                <w:rFonts w:eastAsia="Calibri" w:cs="Arial"/>
                <w:lang w:val="en-GB"/>
              </w:rPr>
              <w:lastRenderedPageBreak/>
              <w:t>indicator is difficult to interpret. Both very low rates and very high rates should be scrutinized to understand the reasons for variations</w:t>
            </w:r>
          </w:p>
        </w:tc>
      </w:tr>
      <w:tr w:rsidR="00331034" w:rsidRPr="009F12FD" w:rsidTr="009F12FD">
        <w:tc>
          <w:tcPr>
            <w:cnfStyle w:val="001000000000"/>
            <w:tcW w:w="2518" w:type="dxa"/>
          </w:tcPr>
          <w:p w:rsidR="00331034" w:rsidRPr="009F12FD" w:rsidRDefault="00331034" w:rsidP="009F12FD">
            <w:pPr>
              <w:spacing w:before="120" w:after="120"/>
              <w:rPr>
                <w:lang w:val="en-GB"/>
              </w:rPr>
            </w:pPr>
            <w:r w:rsidRPr="009F12FD">
              <w:rPr>
                <w:lang w:val="en-GB"/>
              </w:rPr>
              <w:lastRenderedPageBreak/>
              <w:t>Codes</w:t>
            </w:r>
          </w:p>
        </w:tc>
        <w:tc>
          <w:tcPr>
            <w:tcW w:w="6694" w:type="dxa"/>
          </w:tcPr>
          <w:p w:rsidR="007C0739" w:rsidRPr="009F12FD" w:rsidRDefault="007C0739" w:rsidP="009F12FD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9F12FD">
              <w:rPr>
                <w:rFonts w:cs="Arial"/>
                <w:bCs/>
                <w:lang w:val="en-GB"/>
              </w:rPr>
              <w:t xml:space="preserve">Numerator (DRG): </w:t>
            </w:r>
            <w:r w:rsidRPr="009F12FD">
              <w:rPr>
                <w:rFonts w:cs="Arial"/>
                <w:bCs/>
                <w:color w:val="00B050"/>
                <w:lang w:val="en-GB"/>
              </w:rPr>
              <w:t>671A, 671B</w:t>
            </w:r>
          </w:p>
          <w:p w:rsidR="007C0739" w:rsidRPr="009F12FD" w:rsidRDefault="009F12FD" w:rsidP="009F12FD">
            <w:pPr>
              <w:spacing w:before="120" w:after="120"/>
              <w:jc w:val="both"/>
              <w:cnfStyle w:val="000000000000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Denomina</w:t>
            </w:r>
            <w:r w:rsidR="007C0739" w:rsidRPr="009F12FD">
              <w:rPr>
                <w:rFonts w:cs="Arial"/>
                <w:bCs/>
                <w:lang w:val="en-GB"/>
              </w:rPr>
              <w:t xml:space="preserve">tor (DRG): </w:t>
            </w:r>
            <w:r w:rsidR="007C0739" w:rsidRPr="009F12FD">
              <w:rPr>
                <w:rFonts w:cs="Arial"/>
                <w:bCs/>
                <w:color w:val="00B050"/>
                <w:lang w:val="en-GB"/>
              </w:rPr>
              <w:t>671,672, 673,674</w:t>
            </w:r>
          </w:p>
          <w:p w:rsidR="007C0739" w:rsidRPr="009F12FD" w:rsidRDefault="007C0739" w:rsidP="009F12FD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9F12FD">
              <w:rPr>
                <w:rFonts w:cs="Arial"/>
                <w:bCs/>
                <w:lang w:val="en-GB"/>
              </w:rPr>
              <w:t xml:space="preserve">Exclusion (ICD-10): </w:t>
            </w:r>
            <w:r w:rsidRPr="009F12FD">
              <w:rPr>
                <w:rFonts w:cs="Arial"/>
                <w:bCs/>
                <w:color w:val="00B050"/>
                <w:lang w:val="en-GB"/>
              </w:rPr>
              <w:t>O30.0,O30.1, O30.2, O30.8, O30.9,  O31.0, O31.1, O31.2, O31.8,  O32.0 O32.1, O32.2, O32.3, O32.4, O32.5, O32.6, O32.8, O32.9 O36.4, O36.7,  O60.H, O63.2, O64.0, O64.1, O64.2, O64.3, O64.4, O64.5, O64.8, O64.9,  O66.1, O80.1, O83.0,O83.1, 083.3, O84, O84.0, O84.1, O84.2, O84.8, O84.9 Z37.1, Z37.2, Z37.3, Z37.4, Z37.5, Z37.6, Z37.7</w:t>
            </w:r>
          </w:p>
          <w:p w:rsidR="00331034" w:rsidRPr="009F12FD" w:rsidRDefault="00331034" w:rsidP="009F12FD">
            <w:pPr>
              <w:spacing w:before="120" w:after="120"/>
              <w:jc w:val="both"/>
              <w:cnfStyle w:val="000000000000"/>
              <w:rPr>
                <w:rFonts w:cs="Arial"/>
                <w:bCs/>
                <w:i/>
                <w:lang w:val="en-GB"/>
              </w:rPr>
            </w:pPr>
            <w:r w:rsidRPr="009F12FD">
              <w:rPr>
                <w:rFonts w:cs="Arial"/>
                <w:bCs/>
                <w:i/>
                <w:lang w:val="en-GB"/>
              </w:rPr>
              <w:t>(</w:t>
            </w:r>
            <w:r w:rsidR="00447941" w:rsidRPr="009F12FD">
              <w:rPr>
                <w:rFonts w:cs="Arial"/>
                <w:bCs/>
                <w:i/>
                <w:lang w:val="en-GB"/>
              </w:rPr>
              <w:t xml:space="preserve">codes should be </w:t>
            </w:r>
            <w:r w:rsidR="00467D77" w:rsidRPr="009F12FD">
              <w:rPr>
                <w:rFonts w:cs="Arial"/>
                <w:bCs/>
                <w:i/>
                <w:lang w:val="en-GB"/>
              </w:rPr>
              <w:t>defined by each</w:t>
            </w:r>
            <w:r w:rsidRPr="009F12FD">
              <w:rPr>
                <w:rFonts w:cs="Arial"/>
                <w:bCs/>
                <w:i/>
                <w:lang w:val="en-GB"/>
              </w:rPr>
              <w:t xml:space="preserve"> country)</w:t>
            </w:r>
          </w:p>
        </w:tc>
      </w:tr>
    </w:tbl>
    <w:p w:rsidR="00AF0D49" w:rsidRPr="009F12FD" w:rsidRDefault="00AF0D49" w:rsidP="00AF0D49">
      <w:pPr>
        <w:rPr>
          <w:rFonts w:asciiTheme="majorHAnsi" w:hAnsiTheme="majorHAnsi"/>
          <w:lang w:val="en-GB"/>
        </w:rPr>
      </w:pPr>
    </w:p>
    <w:sectPr w:rsidR="00AF0D49" w:rsidRPr="009F12FD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011" w:rsidRDefault="00A91011" w:rsidP="00AF0D49">
      <w:pPr>
        <w:spacing w:after="0" w:line="240" w:lineRule="auto"/>
      </w:pPr>
      <w:r>
        <w:separator/>
      </w:r>
    </w:p>
  </w:endnote>
  <w:endnote w:type="continuationSeparator" w:id="0">
    <w:p w:rsidR="00A91011" w:rsidRDefault="00A91011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0264A" w:rsidRDefault="00044513">
            <w:pPr>
              <w:pStyle w:val="llb"/>
            </w:pPr>
            <w:r>
              <w:rPr>
                <w:b/>
                <w:sz w:val="24"/>
                <w:szCs w:val="24"/>
              </w:rPr>
              <w:fldChar w:fldCharType="begin"/>
            </w:r>
            <w:r w:rsidR="00E0264A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F12F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E0264A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E0264A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F12F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264A" w:rsidRDefault="00E0264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011" w:rsidRDefault="00A91011" w:rsidP="00AF0D49">
      <w:pPr>
        <w:spacing w:after="0" w:line="240" w:lineRule="auto"/>
      </w:pPr>
      <w:r>
        <w:separator/>
      </w:r>
    </w:p>
  </w:footnote>
  <w:footnote w:type="continuationSeparator" w:id="0">
    <w:p w:rsidR="00A91011" w:rsidRDefault="00A91011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4850"/>
    <w:multiLevelType w:val="hybridMultilevel"/>
    <w:tmpl w:val="D7C8BC9A"/>
    <w:lvl w:ilvl="0" w:tplc="56183D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B1E426AE">
      <w:start w:val="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00206"/>
    <w:rsid w:val="00044513"/>
    <w:rsid w:val="0008433C"/>
    <w:rsid w:val="0018690D"/>
    <w:rsid w:val="001D3656"/>
    <w:rsid w:val="001E796F"/>
    <w:rsid w:val="001F79D1"/>
    <w:rsid w:val="00331034"/>
    <w:rsid w:val="00375D41"/>
    <w:rsid w:val="003E5463"/>
    <w:rsid w:val="00447941"/>
    <w:rsid w:val="00457CFD"/>
    <w:rsid w:val="00467D77"/>
    <w:rsid w:val="00504199"/>
    <w:rsid w:val="00511958"/>
    <w:rsid w:val="005228D5"/>
    <w:rsid w:val="00592626"/>
    <w:rsid w:val="00596AF5"/>
    <w:rsid w:val="005A1AD9"/>
    <w:rsid w:val="006870DE"/>
    <w:rsid w:val="006E397D"/>
    <w:rsid w:val="00724762"/>
    <w:rsid w:val="007C0739"/>
    <w:rsid w:val="007D2FBA"/>
    <w:rsid w:val="00862E68"/>
    <w:rsid w:val="00944C98"/>
    <w:rsid w:val="00972D7E"/>
    <w:rsid w:val="00986C88"/>
    <w:rsid w:val="009F12FD"/>
    <w:rsid w:val="00A91011"/>
    <w:rsid w:val="00A9723D"/>
    <w:rsid w:val="00AA239F"/>
    <w:rsid w:val="00AB1CC9"/>
    <w:rsid w:val="00AF0D49"/>
    <w:rsid w:val="00B232B5"/>
    <w:rsid w:val="00BB7FB6"/>
    <w:rsid w:val="00C86E5B"/>
    <w:rsid w:val="00D03298"/>
    <w:rsid w:val="00E0264A"/>
    <w:rsid w:val="00EA06D9"/>
    <w:rsid w:val="00F36088"/>
    <w:rsid w:val="00F57669"/>
    <w:rsid w:val="00FA079F"/>
    <w:rsid w:val="00FB08D7"/>
    <w:rsid w:val="00FF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0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A972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A0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11</cp:revision>
  <dcterms:created xsi:type="dcterms:W3CDTF">2012-06-12T07:38:00Z</dcterms:created>
  <dcterms:modified xsi:type="dcterms:W3CDTF">2012-11-29T11:24:00Z</dcterms:modified>
</cp:coreProperties>
</file>