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511958" w:rsidRDefault="00AF0D49" w:rsidP="00AF0D49">
      <w:pPr>
        <w:jc w:val="center"/>
        <w:rPr>
          <w:rFonts w:asciiTheme="majorHAnsi" w:hAnsiTheme="majorHAnsi"/>
        </w:rPr>
      </w:pPr>
      <w:r w:rsidRPr="00511958">
        <w:rPr>
          <w:rFonts w:asciiTheme="majorHAnsi" w:hAnsiTheme="majorHAnsi"/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5B" w:rsidRPr="00511958" w:rsidRDefault="00897F8D" w:rsidP="00EE7F9D">
      <w:pPr>
        <w:pStyle w:val="Cmsor1"/>
        <w:jc w:val="center"/>
        <w:rPr>
          <w:lang w:val="en-GB"/>
        </w:rPr>
      </w:pPr>
      <w:r>
        <w:rPr>
          <w:lang w:val="en-GB"/>
        </w:rPr>
        <w:t xml:space="preserve">C20 </w:t>
      </w:r>
      <w:r w:rsidR="00AF0D49" w:rsidRPr="00511958">
        <w:rPr>
          <w:lang w:val="en-GB"/>
        </w:rPr>
        <w:t>AMI patients prescribed aspirin at discharge</w:t>
      </w:r>
    </w:p>
    <w:p w:rsidR="00AF0D49" w:rsidRPr="00511958" w:rsidRDefault="00AF0D49" w:rsidP="00AF0D49">
      <w:pPr>
        <w:rPr>
          <w:rFonts w:asciiTheme="majorHAnsi" w:hAnsiTheme="majorHAnsi"/>
          <w:lang w:val="en-GB"/>
        </w:rPr>
      </w:pPr>
    </w:p>
    <w:tbl>
      <w:tblPr>
        <w:tblStyle w:val="Kzepesrnykols21jellszn1"/>
        <w:tblW w:w="0" w:type="auto"/>
        <w:tblLook w:val="04A0"/>
      </w:tblPr>
      <w:tblGrid>
        <w:gridCol w:w="3085"/>
        <w:gridCol w:w="6127"/>
      </w:tblGrid>
      <w:tr w:rsidR="00AF0D49" w:rsidRPr="00EE7F9D" w:rsidTr="00724762">
        <w:trPr>
          <w:cnfStyle w:val="100000000000"/>
        </w:trPr>
        <w:tc>
          <w:tcPr>
            <w:cnfStyle w:val="001000000100"/>
            <w:tcW w:w="3085" w:type="dxa"/>
          </w:tcPr>
          <w:p w:rsidR="00AF0D49" w:rsidRPr="00EE7F9D" w:rsidRDefault="00AF0D49" w:rsidP="00EE7F9D">
            <w:pPr>
              <w:spacing w:before="120" w:after="120"/>
              <w:rPr>
                <w:lang w:val="en-GB"/>
              </w:rPr>
            </w:pPr>
            <w:bookmarkStart w:id="0" w:name="_Ref248808447"/>
            <w:proofErr w:type="spellStart"/>
            <w:r w:rsidRPr="00EE7F9D">
              <w:rPr>
                <w:rFonts w:cs="Arial"/>
              </w:rPr>
              <w:t>Short</w:t>
            </w:r>
            <w:proofErr w:type="spellEnd"/>
            <w:r w:rsidRPr="00EE7F9D">
              <w:rPr>
                <w:rFonts w:cs="Arial"/>
              </w:rPr>
              <w:t xml:space="preserve"> </w:t>
            </w:r>
            <w:proofErr w:type="spellStart"/>
            <w:r w:rsidRPr="00EE7F9D">
              <w:rPr>
                <w:rFonts w:cs="Arial"/>
              </w:rPr>
              <w:t>name</w:t>
            </w:r>
            <w:bookmarkEnd w:id="0"/>
            <w:proofErr w:type="spellEnd"/>
          </w:p>
        </w:tc>
        <w:tc>
          <w:tcPr>
            <w:tcW w:w="6127" w:type="dxa"/>
          </w:tcPr>
          <w:p w:rsidR="00AF0D49" w:rsidRPr="00EE7F9D" w:rsidRDefault="00AF0D49" w:rsidP="00EE7F9D">
            <w:pPr>
              <w:spacing w:before="120" w:after="120"/>
              <w:jc w:val="both"/>
              <w:cnfStyle w:val="100000000000"/>
              <w:rPr>
                <w:lang w:val="en-GB"/>
              </w:rPr>
            </w:pPr>
            <w:r w:rsidRPr="00EE7F9D">
              <w:rPr>
                <w:lang w:val="en-GB"/>
              </w:rPr>
              <w:t>AMI patients prescribed aspirin at discharge</w:t>
            </w:r>
          </w:p>
        </w:tc>
      </w:tr>
      <w:tr w:rsidR="00AF0D49" w:rsidRPr="00EE7F9D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EE7F9D" w:rsidRDefault="00AF0D49" w:rsidP="00EE7F9D">
            <w:pPr>
              <w:spacing w:before="120" w:after="120"/>
              <w:rPr>
                <w:lang w:val="en-GB"/>
              </w:rPr>
            </w:pPr>
            <w:bookmarkStart w:id="1" w:name="_Ref248811004"/>
            <w:r w:rsidRPr="00EE7F9D">
              <w:rPr>
                <w:lang w:val="en-GB"/>
              </w:rPr>
              <w:t>Detailed name</w:t>
            </w:r>
            <w:bookmarkEnd w:id="1"/>
          </w:p>
        </w:tc>
        <w:tc>
          <w:tcPr>
            <w:tcW w:w="6127" w:type="dxa"/>
          </w:tcPr>
          <w:p w:rsidR="00AF0D49" w:rsidRPr="00EE7F9D" w:rsidRDefault="00AF0D49" w:rsidP="00EE7F9D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EE7F9D">
              <w:rPr>
                <w:lang w:val="en-GB"/>
              </w:rPr>
              <w:t>Compliance with guidelines for continued aspirin treatment of patient with AMI.</w:t>
            </w:r>
          </w:p>
        </w:tc>
      </w:tr>
      <w:tr w:rsidR="00AF0D49" w:rsidRPr="00EE7F9D" w:rsidTr="00724762">
        <w:tc>
          <w:tcPr>
            <w:cnfStyle w:val="001000000000"/>
            <w:tcW w:w="3085" w:type="dxa"/>
          </w:tcPr>
          <w:p w:rsidR="00AF0D49" w:rsidRPr="00EE7F9D" w:rsidRDefault="00AF0D49" w:rsidP="00EE7F9D">
            <w:pPr>
              <w:spacing w:before="120" w:after="120"/>
              <w:rPr>
                <w:lang w:val="en-GB"/>
              </w:rPr>
            </w:pPr>
            <w:bookmarkStart w:id="2" w:name="_Ref248811077"/>
            <w:r w:rsidRPr="00EE7F9D">
              <w:rPr>
                <w:lang w:val="en-GB"/>
              </w:rPr>
              <w:t>Short definition</w:t>
            </w:r>
            <w:bookmarkEnd w:id="2"/>
          </w:p>
        </w:tc>
        <w:tc>
          <w:tcPr>
            <w:tcW w:w="6127" w:type="dxa"/>
          </w:tcPr>
          <w:p w:rsidR="00AF0D49" w:rsidRPr="00EE7F9D" w:rsidRDefault="00AF0D49" w:rsidP="00EE7F9D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EE7F9D">
              <w:rPr>
                <w:lang w:val="en-GB"/>
              </w:rPr>
              <w:t>Percentage of AMI patients who have been prescribed aspirin at discharge in compliance with guidelines.</w:t>
            </w:r>
          </w:p>
        </w:tc>
      </w:tr>
      <w:tr w:rsidR="00AF0D49" w:rsidRPr="00EE7F9D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EE7F9D" w:rsidRDefault="00AF0D49" w:rsidP="00EE7F9D">
            <w:pPr>
              <w:spacing w:before="120" w:after="120"/>
              <w:rPr>
                <w:lang w:val="en-GB"/>
              </w:rPr>
            </w:pPr>
            <w:bookmarkStart w:id="3" w:name="_Ref248811235"/>
            <w:r w:rsidRPr="00EE7F9D">
              <w:rPr>
                <w:lang w:val="en-GB"/>
              </w:rPr>
              <w:t>Type of indicator</w:t>
            </w:r>
            <w:bookmarkEnd w:id="3"/>
          </w:p>
        </w:tc>
        <w:tc>
          <w:tcPr>
            <w:tcW w:w="6127" w:type="dxa"/>
          </w:tcPr>
          <w:p w:rsidR="00AF0D49" w:rsidRPr="00EE7F9D" w:rsidRDefault="00AF0D49" w:rsidP="00EE7F9D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EE7F9D">
              <w:rPr>
                <w:rFonts w:cs="Arial"/>
                <w:lang w:val="en-GB"/>
              </w:rPr>
              <w:t>Process measure</w:t>
            </w:r>
          </w:p>
        </w:tc>
      </w:tr>
      <w:tr w:rsidR="00331034" w:rsidRPr="00EE7F9D" w:rsidTr="00724762">
        <w:tc>
          <w:tcPr>
            <w:cnfStyle w:val="001000000000"/>
            <w:tcW w:w="3085" w:type="dxa"/>
          </w:tcPr>
          <w:p w:rsidR="00331034" w:rsidRPr="00EE7F9D" w:rsidRDefault="00331034" w:rsidP="00EE7F9D">
            <w:pPr>
              <w:spacing w:before="120" w:after="120"/>
              <w:rPr>
                <w:rFonts w:cs="Arial"/>
                <w:iCs/>
                <w:lang w:val="en-GB"/>
              </w:rPr>
            </w:pPr>
            <w:bookmarkStart w:id="4" w:name="_Ref248811212"/>
            <w:r w:rsidRPr="00EE7F9D">
              <w:rPr>
                <w:lang w:val="en-GB"/>
              </w:rPr>
              <w:t>Domain</w:t>
            </w:r>
            <w:bookmarkEnd w:id="4"/>
          </w:p>
        </w:tc>
        <w:tc>
          <w:tcPr>
            <w:tcW w:w="6127" w:type="dxa"/>
          </w:tcPr>
          <w:p w:rsidR="00331034" w:rsidRPr="00EE7F9D" w:rsidRDefault="00EE7F9D" w:rsidP="00EE7F9D">
            <w:pPr>
              <w:autoSpaceDE w:val="0"/>
              <w:autoSpaceDN w:val="0"/>
              <w:adjustRightInd w:val="0"/>
              <w:spacing w:before="120" w:after="120"/>
              <w:jc w:val="both"/>
              <w:cnfStyle w:val="000000000000"/>
              <w:rPr>
                <w:rFonts w:cs="Arial"/>
                <w:iCs/>
                <w:lang w:val="en-GB"/>
              </w:rPr>
            </w:pPr>
            <w:r>
              <w:rPr>
                <w:rFonts w:cs="Arial"/>
                <w:lang w:val="en-GB"/>
              </w:rPr>
              <w:t xml:space="preserve">Clinical Effectiveness, </w:t>
            </w:r>
            <w:r w:rsidR="00331034" w:rsidRPr="00EE7F9D">
              <w:rPr>
                <w:rFonts w:cs="Arial"/>
                <w:lang w:val="en-GB"/>
              </w:rPr>
              <w:t>Safety</w:t>
            </w:r>
          </w:p>
        </w:tc>
      </w:tr>
      <w:tr w:rsidR="00AF0D49" w:rsidRPr="00EE7F9D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EE7F9D" w:rsidRDefault="00AF0D49" w:rsidP="00EE7F9D">
            <w:pPr>
              <w:spacing w:before="120" w:after="120"/>
              <w:rPr>
                <w:lang w:val="en-GB"/>
              </w:rPr>
            </w:pPr>
            <w:r w:rsidRPr="00EE7F9D">
              <w:rPr>
                <w:lang w:val="en-GB"/>
              </w:rPr>
              <w:t>Numerator</w:t>
            </w:r>
          </w:p>
          <w:p w:rsidR="00AF0D49" w:rsidRPr="00EE7F9D" w:rsidRDefault="00AF0D49" w:rsidP="00EE7F9D">
            <w:pPr>
              <w:spacing w:before="120" w:after="120"/>
              <w:rPr>
                <w:lang w:val="en-GB"/>
              </w:rPr>
            </w:pPr>
          </w:p>
        </w:tc>
        <w:tc>
          <w:tcPr>
            <w:tcW w:w="6127" w:type="dxa"/>
          </w:tcPr>
          <w:p w:rsidR="00AF0D49" w:rsidRPr="00EE7F9D" w:rsidRDefault="00AF0D49" w:rsidP="00EE7F9D">
            <w:pPr>
              <w:spacing w:before="120" w:after="120"/>
              <w:jc w:val="both"/>
              <w:cnfStyle w:val="000000100000"/>
              <w:rPr>
                <w:rFonts w:cs="Arial"/>
                <w:iCs/>
                <w:lang w:val="en-GB"/>
              </w:rPr>
            </w:pPr>
            <w:r w:rsidRPr="00EE7F9D">
              <w:rPr>
                <w:rFonts w:cs="Arial"/>
                <w:iCs/>
                <w:lang w:val="en-GB"/>
              </w:rPr>
              <w:t xml:space="preserve">Number of patients at the denominator (meeting the inclusion and exclusion criteria) - in </w:t>
            </w:r>
            <w:r w:rsidRPr="00EE7F9D">
              <w:rPr>
                <w:rFonts w:cs="Arial"/>
                <w:iCs/>
                <w:u w:val="single"/>
                <w:lang w:val="en-GB"/>
              </w:rPr>
              <w:t>compliance</w:t>
            </w:r>
            <w:r w:rsidRPr="00EE7F9D">
              <w:rPr>
                <w:rFonts w:cs="Arial"/>
                <w:iCs/>
                <w:lang w:val="en-GB"/>
              </w:rPr>
              <w:t xml:space="preserve"> with guidelines on long term prophylactic use of aspirin in AMI patients. At discharge patients are provided with a prescription on aspirin in accordance with guideline. </w:t>
            </w:r>
          </w:p>
          <w:p w:rsidR="00AF0D49" w:rsidRPr="00EE7F9D" w:rsidRDefault="00EE7F9D" w:rsidP="00EE7F9D">
            <w:pPr>
              <w:spacing w:before="120" w:after="120"/>
              <w:jc w:val="both"/>
              <w:cnfStyle w:val="000000100000"/>
              <w:rPr>
                <w:rFonts w:cs="Arial"/>
                <w:iCs/>
                <w:lang w:val="en-GB"/>
              </w:rPr>
            </w:pPr>
            <w:r>
              <w:rPr>
                <w:rFonts w:cs="Arial"/>
                <w:i/>
                <w:iCs/>
                <w:lang w:val="en-GB"/>
              </w:rPr>
              <w:t>N</w:t>
            </w:r>
            <w:r w:rsidR="00AF0D49" w:rsidRPr="00EE7F9D">
              <w:rPr>
                <w:rFonts w:cs="Arial"/>
                <w:i/>
                <w:iCs/>
                <w:lang w:val="en-GB"/>
              </w:rPr>
              <w:t>ational guidelines are to be defined in details within the PATH national group of participating hospitals based on internation</w:t>
            </w:r>
            <w:r>
              <w:rPr>
                <w:rFonts w:cs="Arial"/>
                <w:i/>
                <w:iCs/>
                <w:lang w:val="en-GB"/>
              </w:rPr>
              <w:t>al guidelines tailored to local</w:t>
            </w:r>
            <w:r w:rsidR="00AF0D49" w:rsidRPr="00EE7F9D">
              <w:rPr>
                <w:rFonts w:cs="Arial"/>
                <w:i/>
                <w:iCs/>
                <w:lang w:val="en-GB"/>
              </w:rPr>
              <w:t xml:space="preserve"> </w:t>
            </w:r>
            <w:r w:rsidR="00AF0D49" w:rsidRPr="00EE7F9D">
              <w:rPr>
                <w:rFonts w:cs="Arial"/>
                <w:i/>
                <w:iCs/>
                <w:lang w:val="en-US"/>
              </w:rPr>
              <w:t>working procedures</w:t>
            </w:r>
            <w:r w:rsidR="00AF0D49" w:rsidRPr="00EE7F9D">
              <w:rPr>
                <w:rFonts w:cs="Arial"/>
                <w:iCs/>
                <w:lang w:val="en-GB"/>
              </w:rPr>
              <w:t>.</w:t>
            </w:r>
          </w:p>
        </w:tc>
      </w:tr>
      <w:tr w:rsidR="00AF0D49" w:rsidRPr="00EE7F9D" w:rsidTr="00724762">
        <w:tc>
          <w:tcPr>
            <w:cnfStyle w:val="001000000000"/>
            <w:tcW w:w="3085" w:type="dxa"/>
          </w:tcPr>
          <w:p w:rsidR="00AF0D49" w:rsidRPr="00EE7F9D" w:rsidRDefault="00AF0D49" w:rsidP="00EE7F9D">
            <w:pPr>
              <w:spacing w:before="120" w:after="120"/>
              <w:rPr>
                <w:lang w:val="en-GB"/>
              </w:rPr>
            </w:pPr>
            <w:r w:rsidRPr="00EE7F9D">
              <w:rPr>
                <w:lang w:val="en-GB"/>
              </w:rPr>
              <w:t>Denominator</w:t>
            </w:r>
          </w:p>
        </w:tc>
        <w:tc>
          <w:tcPr>
            <w:tcW w:w="6127" w:type="dxa"/>
          </w:tcPr>
          <w:p w:rsidR="00AF0D49" w:rsidRPr="00EE7F9D" w:rsidRDefault="00AF0D49" w:rsidP="00EE7F9D">
            <w:pPr>
              <w:spacing w:before="120" w:after="120"/>
              <w:jc w:val="both"/>
              <w:cnfStyle w:val="000000000000"/>
              <w:rPr>
                <w:rFonts w:cs="Arial"/>
                <w:iCs/>
                <w:lang w:val="en-GB"/>
              </w:rPr>
            </w:pPr>
            <w:r w:rsidRPr="00EE7F9D">
              <w:rPr>
                <w:rFonts w:cs="Arial"/>
                <w:iCs/>
                <w:lang w:val="en-GB"/>
              </w:rPr>
              <w:t>Number</w:t>
            </w:r>
            <w:r w:rsidR="004E0D08" w:rsidRPr="00EE7F9D">
              <w:rPr>
                <w:rFonts w:cs="Arial"/>
                <w:iCs/>
                <w:lang w:val="en-GB"/>
              </w:rPr>
              <w:t xml:space="preserve"> of </w:t>
            </w:r>
            <w:r w:rsidRPr="00EE7F9D">
              <w:rPr>
                <w:rFonts w:cs="Arial"/>
                <w:iCs/>
                <w:lang w:val="en-GB"/>
              </w:rPr>
              <w:t xml:space="preserve"> patients admitted to hospital, age 15 years and older, with the principal/primary diagnoses of acute myocardial infarction (AMI)</w:t>
            </w:r>
          </w:p>
        </w:tc>
      </w:tr>
      <w:tr w:rsidR="00AF0D49" w:rsidRPr="00EE7F9D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EE7F9D" w:rsidRDefault="00AF0D49" w:rsidP="00EE7F9D">
            <w:pPr>
              <w:spacing w:before="120" w:after="120"/>
              <w:ind w:left="72" w:firstLine="2"/>
              <w:rPr>
                <w:rFonts w:cs="Arial"/>
                <w:iCs/>
                <w:lang w:val="en-GB"/>
              </w:rPr>
            </w:pPr>
            <w:r w:rsidRPr="00EE7F9D">
              <w:rPr>
                <w:rFonts w:cs="Arial"/>
                <w:iCs/>
                <w:lang w:val="en-GB"/>
              </w:rPr>
              <w:t>Exclusion</w:t>
            </w:r>
          </w:p>
        </w:tc>
        <w:tc>
          <w:tcPr>
            <w:tcW w:w="6127" w:type="dxa"/>
          </w:tcPr>
          <w:p w:rsidR="00AF0D49" w:rsidRPr="00EE7F9D" w:rsidRDefault="00AF0D49" w:rsidP="00EE7F9D">
            <w:pPr>
              <w:numPr>
                <w:ilvl w:val="0"/>
                <w:numId w:val="1"/>
              </w:numPr>
              <w:spacing w:before="120" w:after="120"/>
              <w:jc w:val="both"/>
              <w:cnfStyle w:val="000000100000"/>
              <w:rPr>
                <w:rFonts w:cs="Arial"/>
                <w:iCs/>
                <w:lang w:val="en-GB"/>
              </w:rPr>
            </w:pPr>
            <w:r w:rsidRPr="00EE7F9D">
              <w:rPr>
                <w:rFonts w:cs="Arial"/>
                <w:iCs/>
                <w:lang w:val="en-GB"/>
              </w:rPr>
              <w:t>Transferred to another in-patient hospital</w:t>
            </w:r>
          </w:p>
          <w:p w:rsidR="00AF0D49" w:rsidRPr="00EE7F9D" w:rsidRDefault="00AF0D49" w:rsidP="00EE7F9D">
            <w:pPr>
              <w:numPr>
                <w:ilvl w:val="0"/>
                <w:numId w:val="1"/>
              </w:numPr>
              <w:spacing w:before="120" w:after="120"/>
              <w:jc w:val="both"/>
              <w:cnfStyle w:val="000000100000"/>
              <w:rPr>
                <w:rFonts w:cs="Arial"/>
                <w:iCs/>
                <w:lang w:val="en-GB"/>
              </w:rPr>
            </w:pPr>
            <w:r w:rsidRPr="00EE7F9D">
              <w:rPr>
                <w:rFonts w:cs="Arial"/>
                <w:iCs/>
                <w:lang w:val="en-GB"/>
              </w:rPr>
              <w:t>Allergy to aspirin</w:t>
            </w:r>
          </w:p>
          <w:p w:rsidR="00AF0D49" w:rsidRPr="00EE7F9D" w:rsidRDefault="00AF0D49" w:rsidP="00EE7F9D">
            <w:pPr>
              <w:numPr>
                <w:ilvl w:val="0"/>
                <w:numId w:val="1"/>
              </w:numPr>
              <w:spacing w:before="120" w:after="120"/>
              <w:jc w:val="both"/>
              <w:cnfStyle w:val="000000100000"/>
              <w:rPr>
                <w:rFonts w:cs="Arial"/>
                <w:iCs/>
                <w:lang w:val="en-GB"/>
              </w:rPr>
            </w:pPr>
            <w:r w:rsidRPr="00EE7F9D">
              <w:rPr>
                <w:rFonts w:cs="Arial"/>
                <w:iCs/>
                <w:lang w:val="en-GB"/>
              </w:rPr>
              <w:t>Patient not given informed consent to aspirin treatment</w:t>
            </w:r>
          </w:p>
          <w:p w:rsidR="00AF0D49" w:rsidRPr="00EE7F9D" w:rsidRDefault="00AF0D49" w:rsidP="00EE7F9D">
            <w:pPr>
              <w:numPr>
                <w:ilvl w:val="0"/>
                <w:numId w:val="1"/>
              </w:numPr>
              <w:spacing w:before="120" w:after="120"/>
              <w:jc w:val="both"/>
              <w:cnfStyle w:val="000000100000"/>
              <w:rPr>
                <w:rFonts w:cs="Arial"/>
                <w:iCs/>
                <w:lang w:val="en-GB"/>
              </w:rPr>
            </w:pPr>
            <w:r w:rsidRPr="00EE7F9D">
              <w:rPr>
                <w:rFonts w:cs="Arial"/>
                <w:iCs/>
                <w:lang w:val="en-GB"/>
              </w:rPr>
              <w:t xml:space="preserve">Patient left hospital against medical advice </w:t>
            </w:r>
          </w:p>
          <w:p w:rsidR="00AF0D49" w:rsidRPr="00EE7F9D" w:rsidRDefault="00AF0D49" w:rsidP="00EE7F9D">
            <w:pPr>
              <w:numPr>
                <w:ilvl w:val="0"/>
                <w:numId w:val="1"/>
              </w:numPr>
              <w:spacing w:before="120" w:after="120"/>
              <w:jc w:val="both"/>
              <w:cnfStyle w:val="000000100000"/>
              <w:rPr>
                <w:rFonts w:cs="Arial"/>
                <w:iCs/>
                <w:lang w:val="en-GB"/>
              </w:rPr>
            </w:pPr>
            <w:r w:rsidRPr="00EE7F9D">
              <w:rPr>
                <w:rFonts w:cs="Arial"/>
                <w:iCs/>
                <w:lang w:val="en-GB"/>
              </w:rPr>
              <w:t>In hospital death</w:t>
            </w:r>
          </w:p>
        </w:tc>
      </w:tr>
      <w:tr w:rsidR="00AF0D49" w:rsidRPr="00EE7F9D" w:rsidTr="00724762">
        <w:tc>
          <w:tcPr>
            <w:cnfStyle w:val="001000000000"/>
            <w:tcW w:w="3085" w:type="dxa"/>
          </w:tcPr>
          <w:p w:rsidR="00AF0D49" w:rsidRPr="00EE7F9D" w:rsidRDefault="00AF0D49" w:rsidP="00EE7F9D">
            <w:pPr>
              <w:spacing w:before="120" w:after="120"/>
              <w:rPr>
                <w:lang w:val="en-GB"/>
              </w:rPr>
            </w:pPr>
            <w:r w:rsidRPr="00EE7F9D">
              <w:rPr>
                <w:lang w:val="en-GB"/>
              </w:rPr>
              <w:t>Dimension</w:t>
            </w:r>
          </w:p>
        </w:tc>
        <w:tc>
          <w:tcPr>
            <w:tcW w:w="6127" w:type="dxa"/>
          </w:tcPr>
          <w:p w:rsidR="00AF0D49" w:rsidRPr="00EE7F9D" w:rsidRDefault="00EE7F9D" w:rsidP="00EE7F9D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EE7F9D">
              <w:rPr>
                <w:lang w:val="en-GB"/>
              </w:rPr>
              <w:t>Percent</w:t>
            </w:r>
          </w:p>
        </w:tc>
      </w:tr>
      <w:tr w:rsidR="00AF0D49" w:rsidRPr="00EE7F9D" w:rsidTr="00724762">
        <w:trPr>
          <w:cnfStyle w:val="000000100000"/>
        </w:trPr>
        <w:tc>
          <w:tcPr>
            <w:cnfStyle w:val="001000000000"/>
            <w:tcW w:w="3085" w:type="dxa"/>
          </w:tcPr>
          <w:p w:rsidR="00331034" w:rsidRPr="00EE7F9D" w:rsidRDefault="00AF0D49" w:rsidP="00EE7F9D">
            <w:pPr>
              <w:spacing w:before="120" w:after="120"/>
              <w:rPr>
                <w:lang w:val="en-GB"/>
              </w:rPr>
            </w:pPr>
            <w:bookmarkStart w:id="5" w:name="_Ref248811177"/>
            <w:r w:rsidRPr="00EE7F9D">
              <w:rPr>
                <w:lang w:val="en-GB"/>
              </w:rPr>
              <w:t>Data source</w:t>
            </w:r>
            <w:bookmarkEnd w:id="5"/>
          </w:p>
        </w:tc>
        <w:tc>
          <w:tcPr>
            <w:tcW w:w="6127" w:type="dxa"/>
          </w:tcPr>
          <w:p w:rsidR="00AF0D49" w:rsidRPr="00EE7F9D" w:rsidRDefault="00AF0D49" w:rsidP="00EE7F9D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EE7F9D">
              <w:rPr>
                <w:lang w:val="en-GB"/>
              </w:rPr>
              <w:t>Prospective data collection continuously for at least two periods a year</w:t>
            </w:r>
          </w:p>
        </w:tc>
      </w:tr>
      <w:tr w:rsidR="00FA079F" w:rsidRPr="00EE7F9D" w:rsidTr="00724762">
        <w:tc>
          <w:tcPr>
            <w:cnfStyle w:val="001000000000"/>
            <w:tcW w:w="3085" w:type="dxa"/>
          </w:tcPr>
          <w:p w:rsidR="00FA079F" w:rsidRPr="00EE7F9D" w:rsidRDefault="00FA079F" w:rsidP="00EE7F9D">
            <w:pPr>
              <w:spacing w:before="120" w:after="120"/>
              <w:rPr>
                <w:lang w:val="en-GB"/>
              </w:rPr>
            </w:pPr>
            <w:r w:rsidRPr="00EE7F9D">
              <w:rPr>
                <w:lang w:val="en-GB"/>
              </w:rPr>
              <w:t>Minimum case number</w:t>
            </w:r>
          </w:p>
        </w:tc>
        <w:tc>
          <w:tcPr>
            <w:tcW w:w="6127" w:type="dxa"/>
          </w:tcPr>
          <w:p w:rsidR="00FA079F" w:rsidRPr="00EE7F9D" w:rsidRDefault="00FA079F" w:rsidP="00EE7F9D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EE7F9D">
              <w:rPr>
                <w:rFonts w:cs="Arial"/>
                <w:lang w:val="en-GB"/>
              </w:rPr>
              <w:t>30 consecutive patients per period</w:t>
            </w:r>
            <w:r w:rsidR="001376C6" w:rsidRPr="00EE7F9D">
              <w:rPr>
                <w:rFonts w:cs="Arial"/>
                <w:lang w:val="en-GB"/>
              </w:rPr>
              <w:t xml:space="preserve"> meeting the exclusion and inclusion criteria</w:t>
            </w:r>
          </w:p>
        </w:tc>
      </w:tr>
      <w:tr w:rsidR="00331034" w:rsidRPr="00EE7F9D" w:rsidTr="00724762">
        <w:trPr>
          <w:cnfStyle w:val="000000100000"/>
        </w:trPr>
        <w:tc>
          <w:tcPr>
            <w:cnfStyle w:val="001000000000"/>
            <w:tcW w:w="3085" w:type="dxa"/>
          </w:tcPr>
          <w:p w:rsidR="00331034" w:rsidRPr="00EE7F9D" w:rsidRDefault="00331034" w:rsidP="00EE7F9D">
            <w:pPr>
              <w:spacing w:before="120" w:after="120"/>
              <w:rPr>
                <w:lang w:val="en-GB"/>
              </w:rPr>
            </w:pPr>
            <w:proofErr w:type="spellStart"/>
            <w:r w:rsidRPr="00EE7F9D">
              <w:rPr>
                <w:lang w:val="en-GB"/>
              </w:rPr>
              <w:t>Subindicators</w:t>
            </w:r>
            <w:proofErr w:type="spellEnd"/>
          </w:p>
        </w:tc>
        <w:tc>
          <w:tcPr>
            <w:tcW w:w="6127" w:type="dxa"/>
          </w:tcPr>
          <w:p w:rsidR="00331034" w:rsidRPr="00EE7F9D" w:rsidRDefault="00331034" w:rsidP="00EE7F9D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EE7F9D">
              <w:rPr>
                <w:lang w:val="en-GB"/>
              </w:rPr>
              <w:t>-</w:t>
            </w:r>
          </w:p>
        </w:tc>
      </w:tr>
      <w:tr w:rsidR="00331034" w:rsidRPr="00EE7F9D" w:rsidTr="00724762">
        <w:tc>
          <w:tcPr>
            <w:cnfStyle w:val="001000000000"/>
            <w:tcW w:w="3085" w:type="dxa"/>
          </w:tcPr>
          <w:p w:rsidR="00331034" w:rsidRPr="00EE7F9D" w:rsidRDefault="00331034" w:rsidP="00EE7F9D">
            <w:pPr>
              <w:spacing w:before="120" w:after="120"/>
              <w:rPr>
                <w:lang w:val="en-GB"/>
              </w:rPr>
            </w:pPr>
            <w:bookmarkStart w:id="6" w:name="_Ref248811246"/>
            <w:r w:rsidRPr="00EE7F9D">
              <w:rPr>
                <w:lang w:val="en-GB"/>
              </w:rPr>
              <w:lastRenderedPageBreak/>
              <w:t>Adjustment/ stratification</w:t>
            </w:r>
            <w:bookmarkEnd w:id="6"/>
          </w:p>
        </w:tc>
        <w:tc>
          <w:tcPr>
            <w:tcW w:w="6127" w:type="dxa"/>
          </w:tcPr>
          <w:p w:rsidR="00331034" w:rsidRPr="00EE7F9D" w:rsidRDefault="00331034" w:rsidP="00EE7F9D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EE7F9D">
              <w:rPr>
                <w:rFonts w:cs="Arial"/>
                <w:lang w:val="en-GB"/>
              </w:rPr>
              <w:t>Not relevant</w:t>
            </w:r>
          </w:p>
        </w:tc>
      </w:tr>
      <w:tr w:rsidR="00331034" w:rsidRPr="00EE7F9D" w:rsidTr="00724762">
        <w:trPr>
          <w:cnfStyle w:val="000000100000"/>
        </w:trPr>
        <w:tc>
          <w:tcPr>
            <w:cnfStyle w:val="001000000000"/>
            <w:tcW w:w="3085" w:type="dxa"/>
          </w:tcPr>
          <w:p w:rsidR="00331034" w:rsidRPr="00EE7F9D" w:rsidRDefault="00331034" w:rsidP="00EE7F9D">
            <w:pPr>
              <w:spacing w:before="120" w:after="120"/>
              <w:rPr>
                <w:lang w:val="en-GB"/>
              </w:rPr>
            </w:pPr>
            <w:r w:rsidRPr="00EE7F9D">
              <w:rPr>
                <w:lang w:val="en-GB"/>
              </w:rPr>
              <w:t>Interpretation</w:t>
            </w:r>
          </w:p>
        </w:tc>
        <w:tc>
          <w:tcPr>
            <w:tcW w:w="6127" w:type="dxa"/>
          </w:tcPr>
          <w:p w:rsidR="00331034" w:rsidRPr="00EE7F9D" w:rsidRDefault="00331034" w:rsidP="00EE7F9D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EE7F9D">
              <w:rPr>
                <w:rFonts w:cs="Arial"/>
                <w:bCs/>
                <w:lang w:val="en-GB"/>
              </w:rPr>
              <w:t xml:space="preserve">Improvement is noted as </w:t>
            </w:r>
            <w:r w:rsidRPr="00EE7F9D">
              <w:rPr>
                <w:rFonts w:cs="Arial"/>
                <w:lang w:val="en-GB"/>
              </w:rPr>
              <w:t>an increase in the rate of compliance. A near 100% compliance rate should be sought</w:t>
            </w:r>
          </w:p>
        </w:tc>
      </w:tr>
      <w:tr w:rsidR="00331034" w:rsidRPr="00EE7F9D" w:rsidTr="00724762">
        <w:tc>
          <w:tcPr>
            <w:cnfStyle w:val="001000000000"/>
            <w:tcW w:w="3085" w:type="dxa"/>
          </w:tcPr>
          <w:p w:rsidR="00331034" w:rsidRPr="00EE7F9D" w:rsidRDefault="00331034" w:rsidP="00EE7F9D">
            <w:pPr>
              <w:spacing w:before="120" w:after="120"/>
              <w:rPr>
                <w:lang w:val="en-GB"/>
              </w:rPr>
            </w:pPr>
            <w:r w:rsidRPr="00EE7F9D">
              <w:rPr>
                <w:lang w:val="en-GB"/>
              </w:rPr>
              <w:t>Codes</w:t>
            </w:r>
          </w:p>
        </w:tc>
        <w:tc>
          <w:tcPr>
            <w:tcW w:w="6127" w:type="dxa"/>
          </w:tcPr>
          <w:p w:rsidR="00331034" w:rsidRPr="00EE7F9D" w:rsidRDefault="001834E6" w:rsidP="00EE7F9D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  <w:lang w:val="en-GB"/>
              </w:rPr>
            </w:pPr>
            <w:r w:rsidRPr="00EE7F9D">
              <w:rPr>
                <w:rFonts w:cs="Arial"/>
                <w:bCs/>
                <w:lang w:val="en-GB"/>
              </w:rPr>
              <w:t>ICD-10</w:t>
            </w:r>
            <w:r w:rsidRPr="00EE7F9D">
              <w:rPr>
                <w:rFonts w:cs="Arial"/>
                <w:bCs/>
                <w:color w:val="00B050"/>
                <w:lang w:val="en-GB"/>
              </w:rPr>
              <w:t xml:space="preserve">: </w:t>
            </w:r>
            <w:r w:rsidR="00331034" w:rsidRPr="00EE7F9D">
              <w:rPr>
                <w:rFonts w:cs="Arial"/>
                <w:bCs/>
                <w:color w:val="00B050"/>
                <w:lang w:val="en-GB"/>
              </w:rPr>
              <w:t xml:space="preserve">I21, I22 </w:t>
            </w:r>
          </w:p>
          <w:p w:rsidR="00331034" w:rsidRPr="00EE7F9D" w:rsidRDefault="00331034" w:rsidP="00EE7F9D">
            <w:pPr>
              <w:spacing w:before="120" w:after="120"/>
              <w:jc w:val="both"/>
              <w:cnfStyle w:val="000000000000"/>
              <w:rPr>
                <w:rFonts w:cs="Arial"/>
                <w:bCs/>
                <w:i/>
                <w:lang w:val="en-GB"/>
              </w:rPr>
            </w:pPr>
            <w:r w:rsidRPr="00EE7F9D">
              <w:rPr>
                <w:rFonts w:cs="Arial"/>
                <w:bCs/>
                <w:i/>
                <w:lang w:val="en-GB"/>
              </w:rPr>
              <w:t>(</w:t>
            </w:r>
            <w:r w:rsidR="006817C7" w:rsidRPr="00EE7F9D">
              <w:rPr>
                <w:rFonts w:cs="Arial"/>
                <w:bCs/>
                <w:i/>
                <w:lang w:val="en-GB"/>
              </w:rPr>
              <w:t xml:space="preserve"> codes should be </w:t>
            </w:r>
            <w:r w:rsidR="00394C17" w:rsidRPr="00EE7F9D">
              <w:rPr>
                <w:rFonts w:cs="Arial"/>
                <w:bCs/>
                <w:i/>
                <w:lang w:val="en-GB"/>
              </w:rPr>
              <w:t>defined by each</w:t>
            </w:r>
            <w:r w:rsidRPr="00EE7F9D">
              <w:rPr>
                <w:rFonts w:cs="Arial"/>
                <w:bCs/>
                <w:i/>
                <w:lang w:val="en-GB"/>
              </w:rPr>
              <w:t xml:space="preserve"> country)</w:t>
            </w:r>
          </w:p>
        </w:tc>
      </w:tr>
    </w:tbl>
    <w:p w:rsidR="00AF0D49" w:rsidRPr="00511958" w:rsidRDefault="00AF0D49" w:rsidP="00AF0D49">
      <w:pPr>
        <w:rPr>
          <w:rFonts w:asciiTheme="majorHAnsi" w:hAnsiTheme="majorHAnsi"/>
          <w:lang w:val="en-GB"/>
        </w:rPr>
      </w:pPr>
    </w:p>
    <w:sectPr w:rsidR="00AF0D49" w:rsidRPr="00511958" w:rsidSect="00C86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E3D" w:rsidRDefault="00703E3D" w:rsidP="00AF0D49">
      <w:pPr>
        <w:spacing w:after="0" w:line="240" w:lineRule="auto"/>
      </w:pPr>
      <w:r>
        <w:separator/>
      </w:r>
    </w:p>
  </w:endnote>
  <w:endnote w:type="continuationSeparator" w:id="0">
    <w:p w:rsidR="00703E3D" w:rsidRDefault="00703E3D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E3D" w:rsidRDefault="00703E3D" w:rsidP="00AF0D49">
      <w:pPr>
        <w:spacing w:after="0" w:line="240" w:lineRule="auto"/>
      </w:pPr>
      <w:r>
        <w:separator/>
      </w:r>
    </w:p>
  </w:footnote>
  <w:footnote w:type="continuationSeparator" w:id="0">
    <w:p w:rsidR="00703E3D" w:rsidRDefault="00703E3D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41B78"/>
    <w:rsid w:val="0008433C"/>
    <w:rsid w:val="000D52C8"/>
    <w:rsid w:val="001376C6"/>
    <w:rsid w:val="001834E6"/>
    <w:rsid w:val="00331034"/>
    <w:rsid w:val="00394C17"/>
    <w:rsid w:val="003C423F"/>
    <w:rsid w:val="003E5463"/>
    <w:rsid w:val="00457CFD"/>
    <w:rsid w:val="004E0D08"/>
    <w:rsid w:val="00511958"/>
    <w:rsid w:val="00596AF5"/>
    <w:rsid w:val="005C0B63"/>
    <w:rsid w:val="006817C7"/>
    <w:rsid w:val="006870DE"/>
    <w:rsid w:val="006D6210"/>
    <w:rsid w:val="006E397D"/>
    <w:rsid w:val="00703E3D"/>
    <w:rsid w:val="00724762"/>
    <w:rsid w:val="007D2FBA"/>
    <w:rsid w:val="00835A41"/>
    <w:rsid w:val="0084393B"/>
    <w:rsid w:val="00862E68"/>
    <w:rsid w:val="00897F8D"/>
    <w:rsid w:val="00910AA3"/>
    <w:rsid w:val="00944C98"/>
    <w:rsid w:val="00986C88"/>
    <w:rsid w:val="00AA239F"/>
    <w:rsid w:val="00AF0D49"/>
    <w:rsid w:val="00B232B5"/>
    <w:rsid w:val="00C27CB3"/>
    <w:rsid w:val="00C86E5B"/>
    <w:rsid w:val="00EE7F9D"/>
    <w:rsid w:val="00F20C4E"/>
    <w:rsid w:val="00FA0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4</cp:revision>
  <dcterms:created xsi:type="dcterms:W3CDTF">2012-06-14T21:24:00Z</dcterms:created>
  <dcterms:modified xsi:type="dcterms:W3CDTF">2012-11-29T12:05:00Z</dcterms:modified>
</cp:coreProperties>
</file>