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D49" w:rsidRPr="00A9723D" w:rsidRDefault="00AF0D49" w:rsidP="00AF0D49">
      <w:pPr>
        <w:jc w:val="center"/>
        <w:rPr>
          <w:rFonts w:asciiTheme="majorHAnsi" w:hAnsiTheme="majorHAnsi"/>
        </w:rPr>
      </w:pPr>
      <w:r w:rsidRPr="00A9723D">
        <w:rPr>
          <w:rFonts w:asciiTheme="majorHAnsi" w:hAnsiTheme="majorHAnsi"/>
          <w:noProof/>
          <w:lang w:eastAsia="hu-HU"/>
        </w:rPr>
        <w:drawing>
          <wp:inline distT="0" distB="0" distL="0" distR="0">
            <wp:extent cx="1988185" cy="743585"/>
            <wp:effectExtent l="19050" t="0" r="0" b="0"/>
            <wp:docPr id="1" name="Kép 1" descr="Rysun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sunek1"/>
                    <pic:cNvPicPr>
                      <a:picLocks noChangeAspect="1" noChangeArrowheads="1"/>
                    </pic:cNvPicPr>
                  </pic:nvPicPr>
                  <pic:blipFill>
                    <a:blip r:embed="rId7" cstate="print"/>
                    <a:srcRect/>
                    <a:stretch>
                      <a:fillRect/>
                    </a:stretch>
                  </pic:blipFill>
                  <pic:spPr bwMode="auto">
                    <a:xfrm>
                      <a:off x="0" y="0"/>
                      <a:ext cx="1988185" cy="743585"/>
                    </a:xfrm>
                    <a:prstGeom prst="rect">
                      <a:avLst/>
                    </a:prstGeom>
                    <a:noFill/>
                    <a:ln w="9525">
                      <a:noFill/>
                      <a:miter lim="800000"/>
                      <a:headEnd/>
                      <a:tailEnd/>
                    </a:ln>
                  </pic:spPr>
                </pic:pic>
              </a:graphicData>
            </a:graphic>
          </wp:inline>
        </w:drawing>
      </w:r>
    </w:p>
    <w:p w:rsidR="005228D5" w:rsidRDefault="00363845" w:rsidP="004D5EE9">
      <w:pPr>
        <w:pStyle w:val="Cmsor1"/>
        <w:jc w:val="center"/>
        <w:rPr>
          <w:lang w:val="en-GB"/>
        </w:rPr>
      </w:pPr>
      <w:r w:rsidRPr="004D5EE9">
        <w:rPr>
          <w:lang w:val="en-GB"/>
        </w:rPr>
        <w:t xml:space="preserve">C3.2 </w:t>
      </w:r>
      <w:r w:rsidR="005228D5" w:rsidRPr="004D5EE9">
        <w:rPr>
          <w:lang w:val="en-GB"/>
        </w:rPr>
        <w:t>Patient based stroke 30 day in-hospital (same hospital) mortality rate</w:t>
      </w:r>
    </w:p>
    <w:p w:rsidR="004D5EE9" w:rsidRPr="004D5EE9" w:rsidRDefault="004D5EE9" w:rsidP="004D5EE9">
      <w:pPr>
        <w:rPr>
          <w:lang w:val="en-GB"/>
        </w:rPr>
      </w:pPr>
    </w:p>
    <w:tbl>
      <w:tblPr>
        <w:tblStyle w:val="Kzepesrnykols21jellszn1"/>
        <w:tblW w:w="0" w:type="auto"/>
        <w:tblLook w:val="04A0"/>
      </w:tblPr>
      <w:tblGrid>
        <w:gridCol w:w="3085"/>
        <w:gridCol w:w="6127"/>
      </w:tblGrid>
      <w:tr w:rsidR="00AF0D49" w:rsidRPr="004D5EE9" w:rsidTr="00724762">
        <w:trPr>
          <w:cnfStyle w:val="100000000000"/>
        </w:trPr>
        <w:tc>
          <w:tcPr>
            <w:cnfStyle w:val="001000000100"/>
            <w:tcW w:w="3085" w:type="dxa"/>
          </w:tcPr>
          <w:p w:rsidR="00AF0D49" w:rsidRPr="004D5EE9" w:rsidRDefault="00AF0D49" w:rsidP="004D5EE9">
            <w:pPr>
              <w:spacing w:before="120" w:after="120"/>
              <w:rPr>
                <w:lang w:val="en-GB"/>
              </w:rPr>
            </w:pPr>
            <w:bookmarkStart w:id="0" w:name="_Ref248808447"/>
            <w:proofErr w:type="spellStart"/>
            <w:r w:rsidRPr="004D5EE9">
              <w:rPr>
                <w:rFonts w:cs="Arial"/>
              </w:rPr>
              <w:t>Short</w:t>
            </w:r>
            <w:proofErr w:type="spellEnd"/>
            <w:r w:rsidRPr="004D5EE9">
              <w:rPr>
                <w:rFonts w:cs="Arial"/>
              </w:rPr>
              <w:t xml:space="preserve"> </w:t>
            </w:r>
            <w:proofErr w:type="spellStart"/>
            <w:r w:rsidRPr="004D5EE9">
              <w:rPr>
                <w:rFonts w:cs="Arial"/>
              </w:rPr>
              <w:t>name</w:t>
            </w:r>
            <w:bookmarkEnd w:id="0"/>
            <w:proofErr w:type="spellEnd"/>
          </w:p>
        </w:tc>
        <w:tc>
          <w:tcPr>
            <w:tcW w:w="6127" w:type="dxa"/>
          </w:tcPr>
          <w:p w:rsidR="00AF0D49" w:rsidRPr="004D5EE9" w:rsidRDefault="00A9723D" w:rsidP="004D5EE9">
            <w:pPr>
              <w:tabs>
                <w:tab w:val="left" w:pos="72"/>
              </w:tabs>
              <w:spacing w:before="120" w:after="120"/>
              <w:jc w:val="both"/>
              <w:cnfStyle w:val="100000000000"/>
              <w:rPr>
                <w:lang w:val="en-GB"/>
              </w:rPr>
            </w:pPr>
            <w:r w:rsidRPr="004D5EE9">
              <w:rPr>
                <w:lang w:val="en-GB"/>
              </w:rPr>
              <w:t>Patient based stroke 30 day in-hospital (same hospital) mortality rate</w:t>
            </w:r>
          </w:p>
        </w:tc>
      </w:tr>
      <w:tr w:rsidR="00AF0D49" w:rsidRPr="004D5EE9" w:rsidTr="00724762">
        <w:trPr>
          <w:cnfStyle w:val="000000100000"/>
        </w:trPr>
        <w:tc>
          <w:tcPr>
            <w:cnfStyle w:val="001000000000"/>
            <w:tcW w:w="3085" w:type="dxa"/>
          </w:tcPr>
          <w:p w:rsidR="00AF0D49" w:rsidRPr="004D5EE9" w:rsidRDefault="00AF0D49" w:rsidP="004D5EE9">
            <w:pPr>
              <w:spacing w:before="120" w:after="120"/>
              <w:rPr>
                <w:lang w:val="en-GB"/>
              </w:rPr>
            </w:pPr>
            <w:bookmarkStart w:id="1" w:name="_Ref248811004"/>
            <w:r w:rsidRPr="004D5EE9">
              <w:rPr>
                <w:lang w:val="en-GB"/>
              </w:rPr>
              <w:t>Detailed name</w:t>
            </w:r>
            <w:bookmarkEnd w:id="1"/>
          </w:p>
        </w:tc>
        <w:tc>
          <w:tcPr>
            <w:tcW w:w="6127" w:type="dxa"/>
          </w:tcPr>
          <w:p w:rsidR="00AF0D49" w:rsidRPr="004D5EE9" w:rsidRDefault="00A9723D" w:rsidP="004D5EE9">
            <w:pPr>
              <w:spacing w:before="120" w:after="120"/>
              <w:jc w:val="both"/>
              <w:cnfStyle w:val="000000100000"/>
              <w:rPr>
                <w:lang w:val="en-GB"/>
              </w:rPr>
            </w:pPr>
            <w:r w:rsidRPr="004D5EE9">
              <w:rPr>
                <w:bCs/>
                <w:iCs/>
                <w:lang w:val="en-GB"/>
              </w:rPr>
              <w:t xml:space="preserve">In-hospital (same hospital) mortality rate within 30 </w:t>
            </w:r>
            <w:r w:rsidR="00A7235B" w:rsidRPr="004D5EE9">
              <w:rPr>
                <w:bCs/>
                <w:iCs/>
                <w:lang w:val="en-GB"/>
              </w:rPr>
              <w:t xml:space="preserve">(LOS &lt;= 30) </w:t>
            </w:r>
            <w:r w:rsidRPr="004D5EE9">
              <w:rPr>
                <w:bCs/>
                <w:iCs/>
                <w:lang w:val="en-GB"/>
              </w:rPr>
              <w:t>days of hospital admission for stroke (hemorrhagic or ischemic)</w:t>
            </w:r>
          </w:p>
        </w:tc>
      </w:tr>
      <w:tr w:rsidR="00AF0D49" w:rsidRPr="004D5EE9" w:rsidTr="00724762">
        <w:tc>
          <w:tcPr>
            <w:cnfStyle w:val="001000000000"/>
            <w:tcW w:w="3085" w:type="dxa"/>
          </w:tcPr>
          <w:p w:rsidR="00AF0D49" w:rsidRPr="004D5EE9" w:rsidRDefault="00AF0D49" w:rsidP="004D5EE9">
            <w:pPr>
              <w:spacing w:before="120" w:after="120"/>
              <w:rPr>
                <w:lang w:val="en-GB"/>
              </w:rPr>
            </w:pPr>
            <w:bookmarkStart w:id="2" w:name="_Ref248811077"/>
            <w:r w:rsidRPr="004D5EE9">
              <w:rPr>
                <w:lang w:val="en-GB"/>
              </w:rPr>
              <w:t>Short definition</w:t>
            </w:r>
            <w:bookmarkEnd w:id="2"/>
          </w:p>
        </w:tc>
        <w:tc>
          <w:tcPr>
            <w:tcW w:w="6127" w:type="dxa"/>
          </w:tcPr>
          <w:p w:rsidR="00AF0D49" w:rsidRPr="004D5EE9" w:rsidRDefault="00A9723D" w:rsidP="004D5EE9">
            <w:pPr>
              <w:spacing w:before="120" w:after="120"/>
              <w:jc w:val="both"/>
              <w:cnfStyle w:val="000000000000"/>
              <w:rPr>
                <w:lang w:val="en-GB"/>
              </w:rPr>
            </w:pPr>
            <w:r w:rsidRPr="004D5EE9">
              <w:rPr>
                <w:lang w:val="en-GB"/>
              </w:rPr>
              <w:t>Percent of patients admitted (</w:t>
            </w:r>
            <w:r w:rsidRPr="004D5EE9">
              <w:rPr>
                <w:i/>
                <w:u w:val="single"/>
                <w:lang w:val="en-GB"/>
              </w:rPr>
              <w:t>alternative: percent of admission)</w:t>
            </w:r>
            <w:r w:rsidRPr="004D5EE9">
              <w:rPr>
                <w:lang w:val="en-GB"/>
              </w:rPr>
              <w:t xml:space="preserve"> for hemorrhagic or ischemic stroke who died in the hospital within 30 </w:t>
            </w:r>
            <w:r w:rsidR="00A7235B" w:rsidRPr="004D5EE9">
              <w:rPr>
                <w:lang w:val="en-GB"/>
              </w:rPr>
              <w:t xml:space="preserve">(LOS&lt;=30) </w:t>
            </w:r>
            <w:r w:rsidRPr="004D5EE9">
              <w:rPr>
                <w:lang w:val="en-GB"/>
              </w:rPr>
              <w:t>days of admission.</w:t>
            </w:r>
          </w:p>
        </w:tc>
      </w:tr>
      <w:tr w:rsidR="00AF0D49" w:rsidRPr="004D5EE9" w:rsidTr="00724762">
        <w:trPr>
          <w:cnfStyle w:val="000000100000"/>
        </w:trPr>
        <w:tc>
          <w:tcPr>
            <w:cnfStyle w:val="001000000000"/>
            <w:tcW w:w="3085" w:type="dxa"/>
          </w:tcPr>
          <w:p w:rsidR="00AF0D49" w:rsidRPr="004D5EE9" w:rsidRDefault="00AF0D49" w:rsidP="004D5EE9">
            <w:pPr>
              <w:spacing w:before="120" w:after="120"/>
              <w:rPr>
                <w:lang w:val="en-GB"/>
              </w:rPr>
            </w:pPr>
            <w:bookmarkStart w:id="3" w:name="_Ref248811235"/>
            <w:r w:rsidRPr="004D5EE9">
              <w:rPr>
                <w:lang w:val="en-GB"/>
              </w:rPr>
              <w:t>Type of indicator</w:t>
            </w:r>
            <w:bookmarkEnd w:id="3"/>
          </w:p>
        </w:tc>
        <w:tc>
          <w:tcPr>
            <w:tcW w:w="6127" w:type="dxa"/>
          </w:tcPr>
          <w:p w:rsidR="00AF0D49" w:rsidRPr="004D5EE9" w:rsidRDefault="00A9723D" w:rsidP="004D5EE9">
            <w:pPr>
              <w:spacing w:before="120" w:after="120"/>
              <w:jc w:val="both"/>
              <w:cnfStyle w:val="000000100000"/>
              <w:rPr>
                <w:lang w:val="en-GB"/>
              </w:rPr>
            </w:pPr>
            <w:r w:rsidRPr="004D5EE9">
              <w:rPr>
                <w:rFonts w:cs="Arial"/>
                <w:lang w:val="en-GB"/>
              </w:rPr>
              <w:t xml:space="preserve">Outcome </w:t>
            </w:r>
            <w:r w:rsidR="00AF0D49" w:rsidRPr="004D5EE9">
              <w:rPr>
                <w:rFonts w:cs="Arial"/>
                <w:lang w:val="en-GB"/>
              </w:rPr>
              <w:t>measure</w:t>
            </w:r>
          </w:p>
        </w:tc>
      </w:tr>
      <w:tr w:rsidR="00331034" w:rsidRPr="004D5EE9" w:rsidTr="00724762">
        <w:tc>
          <w:tcPr>
            <w:cnfStyle w:val="001000000000"/>
            <w:tcW w:w="3085" w:type="dxa"/>
          </w:tcPr>
          <w:p w:rsidR="00331034" w:rsidRPr="004D5EE9" w:rsidRDefault="00331034" w:rsidP="004D5EE9">
            <w:pPr>
              <w:spacing w:before="120" w:after="120"/>
              <w:rPr>
                <w:rFonts w:cs="Arial"/>
                <w:iCs/>
                <w:lang w:val="en-GB"/>
              </w:rPr>
            </w:pPr>
            <w:bookmarkStart w:id="4" w:name="_Ref248811212"/>
            <w:r w:rsidRPr="004D5EE9">
              <w:rPr>
                <w:lang w:val="en-GB"/>
              </w:rPr>
              <w:t>Domain</w:t>
            </w:r>
            <w:bookmarkEnd w:id="4"/>
          </w:p>
        </w:tc>
        <w:tc>
          <w:tcPr>
            <w:tcW w:w="6127" w:type="dxa"/>
          </w:tcPr>
          <w:p w:rsidR="00331034" w:rsidRPr="004D5EE9" w:rsidRDefault="00A9723D" w:rsidP="004D5EE9">
            <w:pPr>
              <w:tabs>
                <w:tab w:val="left" w:pos="72"/>
              </w:tabs>
              <w:spacing w:before="120" w:after="120"/>
              <w:jc w:val="both"/>
              <w:cnfStyle w:val="000000000000"/>
              <w:rPr>
                <w:rFonts w:cs="Arial"/>
                <w:iCs/>
                <w:lang w:val="en-GB"/>
              </w:rPr>
            </w:pPr>
            <w:r w:rsidRPr="004D5EE9">
              <w:rPr>
                <w:rFonts w:cs="Arial"/>
                <w:lang w:val="en-GB"/>
              </w:rPr>
              <w:t>Clinical effectiveness, Safety</w:t>
            </w:r>
          </w:p>
        </w:tc>
      </w:tr>
      <w:tr w:rsidR="00AF0D49" w:rsidRPr="004D5EE9" w:rsidTr="00724762">
        <w:trPr>
          <w:cnfStyle w:val="000000100000"/>
        </w:trPr>
        <w:tc>
          <w:tcPr>
            <w:cnfStyle w:val="001000000000"/>
            <w:tcW w:w="3085" w:type="dxa"/>
          </w:tcPr>
          <w:p w:rsidR="00AF0D49" w:rsidRPr="004D5EE9" w:rsidRDefault="00AF0D49" w:rsidP="004D5EE9">
            <w:pPr>
              <w:spacing w:before="120" w:after="120"/>
              <w:rPr>
                <w:rFonts w:cs="Arial"/>
                <w:iCs/>
                <w:lang w:val="en-GB"/>
              </w:rPr>
            </w:pPr>
            <w:r w:rsidRPr="004D5EE9">
              <w:rPr>
                <w:rFonts w:cs="Arial"/>
                <w:iCs/>
                <w:lang w:val="en-GB"/>
              </w:rPr>
              <w:t>Numerator</w:t>
            </w:r>
          </w:p>
          <w:p w:rsidR="00AF0D49" w:rsidRPr="004D5EE9" w:rsidRDefault="00AF0D49" w:rsidP="004D5EE9">
            <w:pPr>
              <w:spacing w:before="120" w:after="120"/>
              <w:rPr>
                <w:lang w:val="en-GB"/>
              </w:rPr>
            </w:pPr>
          </w:p>
        </w:tc>
        <w:tc>
          <w:tcPr>
            <w:tcW w:w="6127" w:type="dxa"/>
          </w:tcPr>
          <w:p w:rsidR="00AF0D49" w:rsidRPr="004D5EE9" w:rsidRDefault="00A9723D" w:rsidP="004D5EE9">
            <w:pPr>
              <w:spacing w:before="120" w:after="120"/>
              <w:jc w:val="both"/>
              <w:cnfStyle w:val="000000100000"/>
              <w:rPr>
                <w:rFonts w:cs="Arial"/>
                <w:iCs/>
                <w:lang w:val="en-GB"/>
              </w:rPr>
            </w:pPr>
            <w:r w:rsidRPr="004D5EE9">
              <w:rPr>
                <w:rFonts w:cs="Arial"/>
                <w:lang w:val="en-GB"/>
              </w:rPr>
              <w:t xml:space="preserve">Number of deaths </w:t>
            </w:r>
            <w:r w:rsidRPr="004D5EE9">
              <w:rPr>
                <w:rFonts w:cs="Arial"/>
                <w:b/>
                <w:bCs/>
                <w:u w:val="single"/>
                <w:lang w:val="en-GB"/>
              </w:rPr>
              <w:t>in the hospital</w:t>
            </w:r>
            <w:r w:rsidRPr="004D5EE9">
              <w:rPr>
                <w:rFonts w:cs="Arial"/>
                <w:lang w:val="en-GB"/>
              </w:rPr>
              <w:t xml:space="preserve"> that occurred within 30 </w:t>
            </w:r>
            <w:r w:rsidR="00A7235B" w:rsidRPr="004D5EE9">
              <w:rPr>
                <w:rFonts w:cs="Arial"/>
                <w:lang w:val="en-GB"/>
              </w:rPr>
              <w:t xml:space="preserve">(LOS&lt;=30) </w:t>
            </w:r>
            <w:r w:rsidRPr="004D5EE9">
              <w:rPr>
                <w:rFonts w:cs="Arial"/>
                <w:lang w:val="en-GB"/>
              </w:rPr>
              <w:t>days of initial acute hospital admission among cases at the denominator</w:t>
            </w:r>
          </w:p>
        </w:tc>
      </w:tr>
      <w:tr w:rsidR="00AF0D49" w:rsidRPr="004D5EE9" w:rsidTr="00724762">
        <w:tc>
          <w:tcPr>
            <w:cnfStyle w:val="001000000000"/>
            <w:tcW w:w="3085" w:type="dxa"/>
          </w:tcPr>
          <w:p w:rsidR="00AF0D49" w:rsidRPr="004D5EE9" w:rsidRDefault="00AF0D49" w:rsidP="004D5EE9">
            <w:pPr>
              <w:spacing w:before="120" w:after="120"/>
              <w:rPr>
                <w:rFonts w:cs="Arial"/>
                <w:iCs/>
                <w:lang w:val="en-GB"/>
              </w:rPr>
            </w:pPr>
            <w:r w:rsidRPr="004D5EE9">
              <w:rPr>
                <w:rFonts w:cs="Arial"/>
                <w:iCs/>
                <w:lang w:val="en-GB"/>
              </w:rPr>
              <w:t>Denominator</w:t>
            </w:r>
          </w:p>
          <w:p w:rsidR="00AF0D49" w:rsidRPr="004D5EE9" w:rsidRDefault="00AF0D49" w:rsidP="004D5EE9">
            <w:pPr>
              <w:spacing w:before="120" w:after="120"/>
              <w:rPr>
                <w:lang w:val="en-GB"/>
              </w:rPr>
            </w:pPr>
          </w:p>
        </w:tc>
        <w:tc>
          <w:tcPr>
            <w:tcW w:w="6127" w:type="dxa"/>
          </w:tcPr>
          <w:p w:rsidR="00AF0D49" w:rsidRPr="004D5EE9" w:rsidRDefault="00353A9B" w:rsidP="004D5EE9">
            <w:pPr>
              <w:spacing w:before="120" w:after="120"/>
              <w:jc w:val="both"/>
              <w:cnfStyle w:val="000000000000"/>
              <w:rPr>
                <w:rFonts w:cs="Arial"/>
                <w:iCs/>
                <w:lang w:val="en-GB"/>
              </w:rPr>
            </w:pPr>
            <w:r w:rsidRPr="004D5EE9">
              <w:rPr>
                <w:lang w:val="en-GB"/>
              </w:rPr>
              <w:t>All patients admitted, age 18</w:t>
            </w:r>
            <w:r w:rsidR="00A9723D" w:rsidRPr="004D5EE9">
              <w:rPr>
                <w:lang w:val="en-GB"/>
              </w:rPr>
              <w:t xml:space="preserve"> years and older, with the principal/primary diagnoses of stroke (includes ischemic and hemorrhagic stroke. All patients are included, whether transferred or not.</w:t>
            </w:r>
          </w:p>
        </w:tc>
      </w:tr>
      <w:tr w:rsidR="00AF0D49" w:rsidRPr="004D5EE9" w:rsidTr="00724762">
        <w:trPr>
          <w:cnfStyle w:val="000000100000"/>
        </w:trPr>
        <w:tc>
          <w:tcPr>
            <w:cnfStyle w:val="001000000000"/>
            <w:tcW w:w="3085" w:type="dxa"/>
          </w:tcPr>
          <w:p w:rsidR="00AF0D49" w:rsidRPr="004D5EE9" w:rsidRDefault="00AF0D49" w:rsidP="004D5EE9">
            <w:pPr>
              <w:spacing w:before="120" w:after="120"/>
              <w:rPr>
                <w:rFonts w:cs="Arial"/>
                <w:iCs/>
                <w:lang w:val="en-GB"/>
              </w:rPr>
            </w:pPr>
            <w:r w:rsidRPr="004D5EE9">
              <w:rPr>
                <w:rFonts w:cs="Arial"/>
                <w:iCs/>
                <w:lang w:val="en-GB"/>
              </w:rPr>
              <w:t>Exclusion</w:t>
            </w:r>
          </w:p>
        </w:tc>
        <w:tc>
          <w:tcPr>
            <w:tcW w:w="6127" w:type="dxa"/>
          </w:tcPr>
          <w:p w:rsidR="00AF0D49" w:rsidRPr="004D5EE9" w:rsidRDefault="00A9723D" w:rsidP="004D5EE9">
            <w:pPr>
              <w:spacing w:before="120" w:after="120"/>
              <w:jc w:val="both"/>
              <w:cnfStyle w:val="000000100000"/>
              <w:rPr>
                <w:rFonts w:cs="Arial"/>
                <w:iCs/>
                <w:lang w:val="en-GB"/>
              </w:rPr>
            </w:pPr>
            <w:r w:rsidRPr="004D5EE9">
              <w:rPr>
                <w:rFonts w:cs="Arial"/>
                <w:iCs/>
                <w:lang w:val="en-GB"/>
              </w:rPr>
              <w:t>-</w:t>
            </w:r>
          </w:p>
        </w:tc>
      </w:tr>
      <w:tr w:rsidR="00AF0D49" w:rsidRPr="004D5EE9" w:rsidTr="00724762">
        <w:tc>
          <w:tcPr>
            <w:cnfStyle w:val="001000000000"/>
            <w:tcW w:w="3085" w:type="dxa"/>
          </w:tcPr>
          <w:p w:rsidR="00AF0D49" w:rsidRPr="004D5EE9" w:rsidRDefault="00AF0D49" w:rsidP="004D5EE9">
            <w:pPr>
              <w:spacing w:before="120" w:after="120"/>
              <w:rPr>
                <w:lang w:val="en-GB"/>
              </w:rPr>
            </w:pPr>
            <w:r w:rsidRPr="004D5EE9">
              <w:rPr>
                <w:lang w:val="en-GB"/>
              </w:rPr>
              <w:t>Dimension</w:t>
            </w:r>
          </w:p>
        </w:tc>
        <w:tc>
          <w:tcPr>
            <w:tcW w:w="6127" w:type="dxa"/>
          </w:tcPr>
          <w:p w:rsidR="00AF0D49" w:rsidRPr="004D5EE9" w:rsidRDefault="004D5EE9" w:rsidP="004D5EE9">
            <w:pPr>
              <w:spacing w:before="120" w:after="120"/>
              <w:jc w:val="both"/>
              <w:cnfStyle w:val="000000000000"/>
              <w:rPr>
                <w:lang w:val="en-GB"/>
              </w:rPr>
            </w:pPr>
            <w:r w:rsidRPr="004D5EE9">
              <w:rPr>
                <w:lang w:val="en-GB"/>
              </w:rPr>
              <w:t>Percent</w:t>
            </w:r>
          </w:p>
        </w:tc>
      </w:tr>
      <w:tr w:rsidR="00AF0D49" w:rsidRPr="004D5EE9" w:rsidTr="00724762">
        <w:trPr>
          <w:cnfStyle w:val="000000100000"/>
        </w:trPr>
        <w:tc>
          <w:tcPr>
            <w:cnfStyle w:val="001000000000"/>
            <w:tcW w:w="3085" w:type="dxa"/>
          </w:tcPr>
          <w:p w:rsidR="00AF0D49" w:rsidRPr="004D5EE9" w:rsidRDefault="00AF0D49" w:rsidP="004D5EE9">
            <w:pPr>
              <w:spacing w:before="120" w:after="120"/>
              <w:rPr>
                <w:lang w:val="en-GB"/>
              </w:rPr>
            </w:pPr>
            <w:bookmarkStart w:id="5" w:name="_Ref248811177"/>
            <w:r w:rsidRPr="004D5EE9">
              <w:rPr>
                <w:lang w:val="en-GB"/>
              </w:rPr>
              <w:t>Data source</w:t>
            </w:r>
            <w:bookmarkEnd w:id="5"/>
          </w:p>
          <w:p w:rsidR="00331034" w:rsidRPr="004D5EE9" w:rsidRDefault="00331034" w:rsidP="004D5EE9">
            <w:pPr>
              <w:spacing w:before="120" w:after="120"/>
              <w:rPr>
                <w:lang w:val="en-GB"/>
              </w:rPr>
            </w:pPr>
          </w:p>
        </w:tc>
        <w:tc>
          <w:tcPr>
            <w:tcW w:w="6127" w:type="dxa"/>
          </w:tcPr>
          <w:p w:rsidR="00AF0D49" w:rsidRPr="004D5EE9" w:rsidRDefault="00A9723D" w:rsidP="004D5EE9">
            <w:pPr>
              <w:autoSpaceDE w:val="0"/>
              <w:autoSpaceDN w:val="0"/>
              <w:adjustRightInd w:val="0"/>
              <w:spacing w:before="120" w:after="120"/>
              <w:jc w:val="both"/>
              <w:cnfStyle w:val="000000100000"/>
              <w:rPr>
                <w:lang w:val="en-GB"/>
              </w:rPr>
            </w:pPr>
            <w:r w:rsidRPr="004D5EE9">
              <w:rPr>
                <w:rFonts w:cs="Arial"/>
                <w:lang w:val="en-US"/>
              </w:rPr>
              <w:t>Retrospective data collection. Administrative databases (</w:t>
            </w:r>
            <w:proofErr w:type="spellStart"/>
            <w:r w:rsidRPr="004D5EE9">
              <w:rPr>
                <w:rFonts w:cs="Arial"/>
                <w:lang w:val="en-US"/>
              </w:rPr>
              <w:t>eg</w:t>
            </w:r>
            <w:proofErr w:type="spellEnd"/>
            <w:r w:rsidRPr="004D5EE9">
              <w:rPr>
                <w:rFonts w:cs="Arial"/>
                <w:lang w:val="en-US"/>
              </w:rPr>
              <w:t>. discharge abstracts).</w:t>
            </w:r>
            <w:r w:rsidR="0052570C" w:rsidRPr="004D5EE9">
              <w:rPr>
                <w:rFonts w:eastAsia="Calibri" w:cs="Arial"/>
                <w:lang w:val="en-US"/>
              </w:rPr>
              <w:t xml:space="preserve"> Compute the indicator on three full years/same period of three years to identify potential trends. (</w:t>
            </w:r>
            <w:proofErr w:type="gramStart"/>
            <w:r w:rsidR="0052570C" w:rsidRPr="004D5EE9">
              <w:rPr>
                <w:rFonts w:eastAsia="Calibri" w:cs="Arial"/>
                <w:lang w:val="en-US"/>
              </w:rPr>
              <w:t>e.</w:t>
            </w:r>
            <w:r w:rsidR="0052570C" w:rsidRPr="004D5EE9">
              <w:rPr>
                <w:rFonts w:cs="Arial"/>
                <w:lang w:val="en-GB"/>
              </w:rPr>
              <w:t>g</w:t>
            </w:r>
            <w:proofErr w:type="gramEnd"/>
            <w:r w:rsidR="0052570C" w:rsidRPr="004D5EE9">
              <w:rPr>
                <w:rFonts w:cs="Arial"/>
                <w:lang w:val="en-GB"/>
              </w:rPr>
              <w:t>. October and February 2009, 2010 and 2011).</w:t>
            </w:r>
            <w:r w:rsidR="004317D0" w:rsidRPr="004D5EE9">
              <w:rPr>
                <w:rFonts w:cs="Arial"/>
                <w:lang w:val="en-GB"/>
              </w:rPr>
              <w:t xml:space="preserve"> </w:t>
            </w:r>
          </w:p>
        </w:tc>
      </w:tr>
      <w:tr w:rsidR="00FA079F" w:rsidRPr="004D5EE9" w:rsidTr="00724762">
        <w:tc>
          <w:tcPr>
            <w:cnfStyle w:val="001000000000"/>
            <w:tcW w:w="3085" w:type="dxa"/>
          </w:tcPr>
          <w:p w:rsidR="00FA079F" w:rsidRPr="004D5EE9" w:rsidRDefault="00FA079F" w:rsidP="004D5EE9">
            <w:pPr>
              <w:spacing w:before="120" w:after="120"/>
              <w:rPr>
                <w:lang w:val="en-GB"/>
              </w:rPr>
            </w:pPr>
            <w:r w:rsidRPr="004D5EE9">
              <w:rPr>
                <w:lang w:val="en-GB"/>
              </w:rPr>
              <w:t>Minimum case number</w:t>
            </w:r>
          </w:p>
        </w:tc>
        <w:tc>
          <w:tcPr>
            <w:tcW w:w="6127" w:type="dxa"/>
          </w:tcPr>
          <w:p w:rsidR="00FA079F" w:rsidRPr="004D5EE9" w:rsidRDefault="00A9723D" w:rsidP="004D5EE9">
            <w:pPr>
              <w:spacing w:before="120" w:after="120"/>
              <w:jc w:val="both"/>
              <w:cnfStyle w:val="000000000000"/>
              <w:rPr>
                <w:lang w:val="en-GB"/>
              </w:rPr>
            </w:pPr>
            <w:r w:rsidRPr="004D5EE9">
              <w:rPr>
                <w:rFonts w:cs="Arial"/>
                <w:lang w:val="en-GB"/>
              </w:rPr>
              <w:t>60</w:t>
            </w:r>
            <w:r w:rsidR="00FA079F" w:rsidRPr="004D5EE9">
              <w:rPr>
                <w:rFonts w:cs="Arial"/>
                <w:lang w:val="en-GB"/>
              </w:rPr>
              <w:t xml:space="preserve"> consecutive patients per period</w:t>
            </w:r>
            <w:r w:rsidR="00FE2657" w:rsidRPr="004D5EE9">
              <w:rPr>
                <w:rFonts w:cs="Arial"/>
                <w:lang w:val="en-GB"/>
              </w:rPr>
              <w:t xml:space="preserve"> meeting the exclusion and inclusion criteria</w:t>
            </w:r>
          </w:p>
        </w:tc>
      </w:tr>
      <w:tr w:rsidR="00331034" w:rsidRPr="004D5EE9" w:rsidTr="00724762">
        <w:trPr>
          <w:cnfStyle w:val="000000100000"/>
        </w:trPr>
        <w:tc>
          <w:tcPr>
            <w:cnfStyle w:val="001000000000"/>
            <w:tcW w:w="3085" w:type="dxa"/>
          </w:tcPr>
          <w:p w:rsidR="00331034" w:rsidRPr="004D5EE9" w:rsidRDefault="00331034" w:rsidP="004D5EE9">
            <w:pPr>
              <w:spacing w:before="120" w:after="120"/>
              <w:rPr>
                <w:lang w:val="en-GB"/>
              </w:rPr>
            </w:pPr>
            <w:proofErr w:type="spellStart"/>
            <w:r w:rsidRPr="004D5EE9">
              <w:rPr>
                <w:lang w:val="en-GB"/>
              </w:rPr>
              <w:t>Subindicators</w:t>
            </w:r>
            <w:proofErr w:type="spellEnd"/>
          </w:p>
        </w:tc>
        <w:tc>
          <w:tcPr>
            <w:tcW w:w="6127" w:type="dxa"/>
          </w:tcPr>
          <w:p w:rsidR="00331034" w:rsidRPr="004D5EE9" w:rsidRDefault="00A9723D" w:rsidP="004D5EE9">
            <w:pPr>
              <w:pStyle w:val="Listaszerbekezds"/>
              <w:numPr>
                <w:ilvl w:val="0"/>
                <w:numId w:val="2"/>
              </w:numPr>
              <w:spacing w:before="120" w:after="120"/>
              <w:jc w:val="both"/>
              <w:cnfStyle w:val="000000100000"/>
              <w:rPr>
                <w:lang w:val="en-GB"/>
              </w:rPr>
            </w:pPr>
            <w:r w:rsidRPr="004D5EE9">
              <w:rPr>
                <w:lang w:val="en-GB"/>
              </w:rPr>
              <w:t xml:space="preserve">hospital mortality rate within 30 </w:t>
            </w:r>
            <w:r w:rsidR="00A7235B" w:rsidRPr="004D5EE9">
              <w:rPr>
                <w:lang w:val="en-GB"/>
              </w:rPr>
              <w:t>(</w:t>
            </w:r>
            <w:r w:rsidR="006373D5" w:rsidRPr="004D5EE9">
              <w:rPr>
                <w:lang w:val="en-GB"/>
              </w:rPr>
              <w:t xml:space="preserve">LOS </w:t>
            </w:r>
            <w:r w:rsidR="00A7235B" w:rsidRPr="004D5EE9">
              <w:rPr>
                <w:lang w:val="en-GB"/>
              </w:rPr>
              <w:t>&lt;=</w:t>
            </w:r>
            <w:r w:rsidR="006373D5" w:rsidRPr="004D5EE9">
              <w:rPr>
                <w:lang w:val="en-GB"/>
              </w:rPr>
              <w:t xml:space="preserve"> </w:t>
            </w:r>
            <w:r w:rsidR="00A7235B" w:rsidRPr="004D5EE9">
              <w:rPr>
                <w:lang w:val="en-GB"/>
              </w:rPr>
              <w:t xml:space="preserve">30) </w:t>
            </w:r>
            <w:r w:rsidRPr="004D5EE9">
              <w:rPr>
                <w:lang w:val="en-GB"/>
              </w:rPr>
              <w:t>days without transmissions</w:t>
            </w:r>
          </w:p>
          <w:p w:rsidR="00A9723D" w:rsidRPr="004D5EE9" w:rsidRDefault="00A9723D" w:rsidP="004D5EE9">
            <w:pPr>
              <w:pStyle w:val="Listaszerbekezds"/>
              <w:numPr>
                <w:ilvl w:val="0"/>
                <w:numId w:val="2"/>
              </w:numPr>
              <w:spacing w:before="120" w:after="120"/>
              <w:jc w:val="both"/>
              <w:cnfStyle w:val="000000100000"/>
              <w:rPr>
                <w:lang w:val="en-GB"/>
              </w:rPr>
            </w:pPr>
            <w:r w:rsidRPr="004D5EE9">
              <w:rPr>
                <w:lang w:val="en-GB"/>
              </w:rPr>
              <w:t xml:space="preserve">hospital mortality rate within 2 </w:t>
            </w:r>
            <w:r w:rsidR="00A7235B" w:rsidRPr="004D5EE9">
              <w:rPr>
                <w:lang w:val="en-GB"/>
              </w:rPr>
              <w:t>(</w:t>
            </w:r>
            <w:r w:rsidR="006373D5" w:rsidRPr="004D5EE9">
              <w:rPr>
                <w:lang w:val="en-GB"/>
              </w:rPr>
              <w:t xml:space="preserve">LOS </w:t>
            </w:r>
            <w:r w:rsidR="00A7235B" w:rsidRPr="004D5EE9">
              <w:rPr>
                <w:lang w:val="en-GB"/>
              </w:rPr>
              <w:t>&lt;=</w:t>
            </w:r>
            <w:r w:rsidR="006373D5" w:rsidRPr="004D5EE9">
              <w:rPr>
                <w:lang w:val="en-GB"/>
              </w:rPr>
              <w:t xml:space="preserve"> </w:t>
            </w:r>
            <w:r w:rsidR="00A7235B" w:rsidRPr="004D5EE9">
              <w:rPr>
                <w:lang w:val="en-GB"/>
              </w:rPr>
              <w:t xml:space="preserve">2) </w:t>
            </w:r>
            <w:r w:rsidRPr="004D5EE9">
              <w:rPr>
                <w:lang w:val="en-GB"/>
              </w:rPr>
              <w:t>days</w:t>
            </w:r>
          </w:p>
        </w:tc>
      </w:tr>
      <w:tr w:rsidR="00331034" w:rsidRPr="004D5EE9" w:rsidTr="00724762">
        <w:tc>
          <w:tcPr>
            <w:cnfStyle w:val="001000000000"/>
            <w:tcW w:w="3085" w:type="dxa"/>
          </w:tcPr>
          <w:p w:rsidR="00331034" w:rsidRPr="004D5EE9" w:rsidRDefault="00331034" w:rsidP="004D5EE9">
            <w:pPr>
              <w:spacing w:before="120" w:after="120"/>
              <w:rPr>
                <w:lang w:val="en-GB"/>
              </w:rPr>
            </w:pPr>
            <w:bookmarkStart w:id="6" w:name="_Ref248811246"/>
            <w:r w:rsidRPr="004D5EE9">
              <w:rPr>
                <w:lang w:val="en-GB"/>
              </w:rPr>
              <w:t>Adjustment/ stratification</w:t>
            </w:r>
            <w:bookmarkEnd w:id="6"/>
          </w:p>
        </w:tc>
        <w:tc>
          <w:tcPr>
            <w:tcW w:w="6127" w:type="dxa"/>
          </w:tcPr>
          <w:p w:rsidR="00331034" w:rsidRPr="004D5EE9" w:rsidRDefault="00A9723D" w:rsidP="004D5EE9">
            <w:pPr>
              <w:spacing w:before="120" w:after="120"/>
              <w:jc w:val="both"/>
              <w:cnfStyle w:val="000000000000"/>
              <w:rPr>
                <w:lang w:val="en-GB"/>
              </w:rPr>
            </w:pPr>
            <w:r w:rsidRPr="004D5EE9">
              <w:rPr>
                <w:lang w:val="en-GB"/>
              </w:rPr>
              <w:t>-</w:t>
            </w:r>
          </w:p>
        </w:tc>
      </w:tr>
      <w:tr w:rsidR="00331034" w:rsidRPr="004D5EE9" w:rsidTr="00724762">
        <w:trPr>
          <w:cnfStyle w:val="000000100000"/>
        </w:trPr>
        <w:tc>
          <w:tcPr>
            <w:cnfStyle w:val="001000000000"/>
            <w:tcW w:w="3085" w:type="dxa"/>
          </w:tcPr>
          <w:p w:rsidR="00331034" w:rsidRPr="004D5EE9" w:rsidRDefault="00331034" w:rsidP="004D5EE9">
            <w:pPr>
              <w:spacing w:before="120" w:after="120"/>
              <w:rPr>
                <w:lang w:val="en-GB"/>
              </w:rPr>
            </w:pPr>
            <w:r w:rsidRPr="004D5EE9">
              <w:rPr>
                <w:lang w:val="en-GB"/>
              </w:rPr>
              <w:lastRenderedPageBreak/>
              <w:t>Interpretation</w:t>
            </w:r>
          </w:p>
        </w:tc>
        <w:tc>
          <w:tcPr>
            <w:tcW w:w="6127" w:type="dxa"/>
          </w:tcPr>
          <w:p w:rsidR="00331034" w:rsidRPr="004D5EE9" w:rsidRDefault="00A9723D" w:rsidP="004D5EE9">
            <w:pPr>
              <w:autoSpaceDE w:val="0"/>
              <w:autoSpaceDN w:val="0"/>
              <w:adjustRightInd w:val="0"/>
              <w:spacing w:before="120" w:after="120"/>
              <w:jc w:val="both"/>
              <w:cnfStyle w:val="000000100000"/>
              <w:rPr>
                <w:lang w:val="en-GB"/>
              </w:rPr>
            </w:pPr>
            <w:r w:rsidRPr="004D5EE9">
              <w:rPr>
                <w:rFonts w:cs="Arial"/>
                <w:bCs/>
                <w:lang w:val="en-GB"/>
              </w:rPr>
              <w:t xml:space="preserve">Improvement is noted as </w:t>
            </w:r>
            <w:r w:rsidRPr="004D5EE9">
              <w:rPr>
                <w:rFonts w:cs="Arial"/>
                <w:lang w:val="en-GB"/>
              </w:rPr>
              <w:t>a decrease in the rate. Very low rates may indicate early discharges or transfers, lack of registration of deaths in emergency room settings (and no readmission to the hospital) rather than high quality of care</w:t>
            </w:r>
          </w:p>
        </w:tc>
      </w:tr>
      <w:tr w:rsidR="00331034" w:rsidRPr="004D5EE9" w:rsidTr="00724762">
        <w:tc>
          <w:tcPr>
            <w:cnfStyle w:val="001000000000"/>
            <w:tcW w:w="3085" w:type="dxa"/>
          </w:tcPr>
          <w:p w:rsidR="00331034" w:rsidRPr="004D5EE9" w:rsidRDefault="00331034" w:rsidP="004D5EE9">
            <w:pPr>
              <w:spacing w:before="120" w:after="120"/>
              <w:rPr>
                <w:lang w:val="en-GB"/>
              </w:rPr>
            </w:pPr>
            <w:r w:rsidRPr="004D5EE9">
              <w:rPr>
                <w:lang w:val="en-GB"/>
              </w:rPr>
              <w:t>Codes</w:t>
            </w:r>
            <w:r w:rsidR="00A7235B" w:rsidRPr="004D5EE9">
              <w:rPr>
                <w:lang w:val="en-GB"/>
              </w:rPr>
              <w:t>/definitions</w:t>
            </w:r>
          </w:p>
        </w:tc>
        <w:tc>
          <w:tcPr>
            <w:tcW w:w="6127" w:type="dxa"/>
          </w:tcPr>
          <w:p w:rsidR="00331034" w:rsidRPr="004D5EE9" w:rsidRDefault="004317D0" w:rsidP="004D5EE9">
            <w:pPr>
              <w:spacing w:before="120" w:after="120"/>
              <w:jc w:val="both"/>
              <w:cnfStyle w:val="000000000000"/>
              <w:rPr>
                <w:rFonts w:cs="Arial"/>
                <w:bCs/>
                <w:color w:val="00B050"/>
                <w:lang w:val="en-GB"/>
              </w:rPr>
            </w:pPr>
            <w:r w:rsidRPr="004D5EE9">
              <w:rPr>
                <w:rFonts w:cs="Arial"/>
                <w:bCs/>
                <w:lang w:val="en-GB"/>
              </w:rPr>
              <w:t>ICD-10</w:t>
            </w:r>
            <w:r w:rsidRPr="004D5EE9">
              <w:rPr>
                <w:rFonts w:cs="Arial"/>
                <w:bCs/>
                <w:color w:val="00B050"/>
                <w:lang w:val="en-GB"/>
              </w:rPr>
              <w:t xml:space="preserve">: </w:t>
            </w:r>
            <w:r w:rsidR="00A9723D" w:rsidRPr="004D5EE9">
              <w:rPr>
                <w:rFonts w:cs="Arial"/>
                <w:bCs/>
                <w:color w:val="00B050"/>
                <w:lang w:val="en-GB"/>
              </w:rPr>
              <w:t>I61, I62, I63, I64</w:t>
            </w:r>
          </w:p>
          <w:p w:rsidR="00A7235B" w:rsidRPr="004D5EE9" w:rsidRDefault="00331034" w:rsidP="004D5EE9">
            <w:pPr>
              <w:spacing w:before="120" w:after="120"/>
              <w:jc w:val="both"/>
              <w:cnfStyle w:val="000000000000"/>
              <w:rPr>
                <w:rFonts w:cs="Arial"/>
                <w:bCs/>
                <w:i/>
                <w:lang w:val="en-GB"/>
              </w:rPr>
            </w:pPr>
            <w:r w:rsidRPr="004D5EE9">
              <w:rPr>
                <w:rFonts w:cs="Arial"/>
                <w:bCs/>
                <w:i/>
                <w:lang w:val="en-GB"/>
              </w:rPr>
              <w:t>(</w:t>
            </w:r>
            <w:r w:rsidR="004317D0" w:rsidRPr="004D5EE9">
              <w:rPr>
                <w:rFonts w:cs="Arial"/>
                <w:bCs/>
                <w:i/>
                <w:lang w:val="en-GB"/>
              </w:rPr>
              <w:t xml:space="preserve"> codes should be </w:t>
            </w:r>
            <w:r w:rsidR="0052570C" w:rsidRPr="004D5EE9">
              <w:rPr>
                <w:rFonts w:cs="Arial"/>
                <w:bCs/>
                <w:i/>
                <w:lang w:val="en-GB"/>
              </w:rPr>
              <w:t>defined by each</w:t>
            </w:r>
            <w:r w:rsidRPr="004D5EE9">
              <w:rPr>
                <w:rFonts w:cs="Arial"/>
                <w:bCs/>
                <w:i/>
                <w:lang w:val="en-GB"/>
              </w:rPr>
              <w:t xml:space="preserve"> country)</w:t>
            </w:r>
          </w:p>
          <w:p w:rsidR="00A7235B" w:rsidRPr="004D5EE9" w:rsidRDefault="00A7235B" w:rsidP="004D5EE9">
            <w:pPr>
              <w:spacing w:before="120" w:after="120"/>
              <w:jc w:val="both"/>
              <w:cnfStyle w:val="000000000000"/>
              <w:rPr>
                <w:rFonts w:cs="Arial"/>
                <w:bCs/>
                <w:lang w:val="en-GB"/>
              </w:rPr>
            </w:pPr>
            <w:r w:rsidRPr="004D5EE9">
              <w:rPr>
                <w:rFonts w:cs="Arial"/>
                <w:lang w:val="en-GB"/>
              </w:rPr>
              <w:t>LOS</w:t>
            </w:r>
            <w:r w:rsidRPr="004D5EE9">
              <w:rPr>
                <w:rFonts w:cs="Arial"/>
                <w:bCs/>
                <w:lang w:val="en-GB"/>
              </w:rPr>
              <w:t>: discharge date – admission date + 1</w:t>
            </w:r>
          </w:p>
        </w:tc>
      </w:tr>
    </w:tbl>
    <w:p w:rsidR="00AF0D49" w:rsidRPr="00A9723D" w:rsidRDefault="00AF0D49" w:rsidP="00FE2657">
      <w:pPr>
        <w:rPr>
          <w:rFonts w:asciiTheme="majorHAnsi" w:hAnsiTheme="majorHAnsi"/>
          <w:lang w:val="en-GB"/>
        </w:rPr>
      </w:pPr>
    </w:p>
    <w:sectPr w:rsidR="00AF0D49" w:rsidRPr="00A9723D" w:rsidSect="00C86E5B">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14B" w:rsidRDefault="0079714B" w:rsidP="00AF0D49">
      <w:pPr>
        <w:spacing w:after="0" w:line="240" w:lineRule="auto"/>
      </w:pPr>
      <w:r>
        <w:separator/>
      </w:r>
    </w:p>
  </w:endnote>
  <w:endnote w:type="continuationSeparator" w:id="0">
    <w:p w:rsidR="0079714B" w:rsidRDefault="0079714B" w:rsidP="00AF0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628402"/>
      <w:docPartObj>
        <w:docPartGallery w:val="Page Numbers (Bottom of Page)"/>
        <w:docPartUnique/>
      </w:docPartObj>
    </w:sdtPr>
    <w:sdtContent>
      <w:sdt>
        <w:sdtPr>
          <w:id w:val="98381352"/>
          <w:docPartObj>
            <w:docPartGallery w:val="Page Numbers (Top of Page)"/>
            <w:docPartUnique/>
          </w:docPartObj>
        </w:sdtPr>
        <w:sdtContent>
          <w:p w:rsidR="008E50C4" w:rsidRDefault="008E50C4">
            <w:pPr>
              <w:pStyle w:val="llb"/>
            </w:pPr>
            <w:r>
              <w:t xml:space="preserve"> </w:t>
            </w:r>
            <w:r w:rsidR="00C90578">
              <w:rPr>
                <w:b/>
                <w:sz w:val="24"/>
                <w:szCs w:val="24"/>
              </w:rPr>
              <w:fldChar w:fldCharType="begin"/>
            </w:r>
            <w:r>
              <w:rPr>
                <w:b/>
              </w:rPr>
              <w:instrText>PAGE</w:instrText>
            </w:r>
            <w:r w:rsidR="00C90578">
              <w:rPr>
                <w:b/>
                <w:sz w:val="24"/>
                <w:szCs w:val="24"/>
              </w:rPr>
              <w:fldChar w:fldCharType="separate"/>
            </w:r>
            <w:r w:rsidR="004D5EE9">
              <w:rPr>
                <w:b/>
                <w:noProof/>
              </w:rPr>
              <w:t>2</w:t>
            </w:r>
            <w:r w:rsidR="00C90578">
              <w:rPr>
                <w:b/>
                <w:sz w:val="24"/>
                <w:szCs w:val="24"/>
              </w:rPr>
              <w:fldChar w:fldCharType="end"/>
            </w:r>
            <w:r>
              <w:t xml:space="preserve"> / </w:t>
            </w:r>
            <w:r w:rsidR="00C90578">
              <w:rPr>
                <w:b/>
                <w:sz w:val="24"/>
                <w:szCs w:val="24"/>
              </w:rPr>
              <w:fldChar w:fldCharType="begin"/>
            </w:r>
            <w:r>
              <w:rPr>
                <w:b/>
              </w:rPr>
              <w:instrText>NUMPAGES</w:instrText>
            </w:r>
            <w:r w:rsidR="00C90578">
              <w:rPr>
                <w:b/>
                <w:sz w:val="24"/>
                <w:szCs w:val="24"/>
              </w:rPr>
              <w:fldChar w:fldCharType="separate"/>
            </w:r>
            <w:r w:rsidR="004D5EE9">
              <w:rPr>
                <w:b/>
                <w:noProof/>
              </w:rPr>
              <w:t>2</w:t>
            </w:r>
            <w:r w:rsidR="00C90578">
              <w:rPr>
                <w:b/>
                <w:sz w:val="24"/>
                <w:szCs w:val="24"/>
              </w:rPr>
              <w:fldChar w:fldCharType="end"/>
            </w:r>
          </w:p>
        </w:sdtContent>
      </w:sdt>
    </w:sdtContent>
  </w:sdt>
  <w:p w:rsidR="008E50C4" w:rsidRDefault="008E50C4">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14B" w:rsidRDefault="0079714B" w:rsidP="00AF0D49">
      <w:pPr>
        <w:spacing w:after="0" w:line="240" w:lineRule="auto"/>
      </w:pPr>
      <w:r>
        <w:separator/>
      </w:r>
    </w:p>
  </w:footnote>
  <w:footnote w:type="continuationSeparator" w:id="0">
    <w:p w:rsidR="0079714B" w:rsidRDefault="0079714B" w:rsidP="00AF0D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B4671"/>
    <w:multiLevelType w:val="hybridMultilevel"/>
    <w:tmpl w:val="8B1071F8"/>
    <w:lvl w:ilvl="0" w:tplc="A13A99B0">
      <w:start w:val="14"/>
      <w:numFmt w:val="bullet"/>
      <w:lvlText w:val="-"/>
      <w:lvlJc w:val="left"/>
      <w:pPr>
        <w:ind w:left="720" w:hanging="360"/>
      </w:pPr>
      <w:rPr>
        <w:rFonts w:ascii="Cambria" w:eastAsiaTheme="minorHAnsi" w:hAnsi="Cambri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493D5B4D"/>
    <w:multiLevelType w:val="hybridMultilevel"/>
    <w:tmpl w:val="7BFA9642"/>
    <w:lvl w:ilvl="0" w:tplc="B0180C18">
      <w:start w:val="5"/>
      <w:numFmt w:val="bullet"/>
      <w:lvlText w:val="-"/>
      <w:lvlJc w:val="left"/>
      <w:pPr>
        <w:tabs>
          <w:tab w:val="num" w:pos="720"/>
        </w:tabs>
        <w:ind w:left="720" w:hanging="360"/>
      </w:pPr>
      <w:rPr>
        <w:rFonts w:ascii="Arial" w:eastAsia="Times New Roman" w:hAnsi="Arial" w:cs="Aria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F0D49"/>
    <w:rsid w:val="0008433C"/>
    <w:rsid w:val="000A54A0"/>
    <w:rsid w:val="00331034"/>
    <w:rsid w:val="00353A9B"/>
    <w:rsid w:val="00363845"/>
    <w:rsid w:val="003E5463"/>
    <w:rsid w:val="00402AD2"/>
    <w:rsid w:val="004317D0"/>
    <w:rsid w:val="004563B8"/>
    <w:rsid w:val="00457CFD"/>
    <w:rsid w:val="004D5EE9"/>
    <w:rsid w:val="00511958"/>
    <w:rsid w:val="005228D5"/>
    <w:rsid w:val="0052570C"/>
    <w:rsid w:val="0056689C"/>
    <w:rsid w:val="00596AF5"/>
    <w:rsid w:val="006373D5"/>
    <w:rsid w:val="006716BD"/>
    <w:rsid w:val="006870DE"/>
    <w:rsid w:val="006E397D"/>
    <w:rsid w:val="00724762"/>
    <w:rsid w:val="0079714B"/>
    <w:rsid w:val="007D2FBA"/>
    <w:rsid w:val="00862E68"/>
    <w:rsid w:val="008E50C4"/>
    <w:rsid w:val="008F4C5A"/>
    <w:rsid w:val="00944C98"/>
    <w:rsid w:val="00986C88"/>
    <w:rsid w:val="009B2462"/>
    <w:rsid w:val="009C5C81"/>
    <w:rsid w:val="00A16F6E"/>
    <w:rsid w:val="00A7235B"/>
    <w:rsid w:val="00A9723D"/>
    <w:rsid w:val="00AA239F"/>
    <w:rsid w:val="00AF0D49"/>
    <w:rsid w:val="00B232B5"/>
    <w:rsid w:val="00B30D9D"/>
    <w:rsid w:val="00B9268E"/>
    <w:rsid w:val="00BB7FB6"/>
    <w:rsid w:val="00C21AAD"/>
    <w:rsid w:val="00C86E5B"/>
    <w:rsid w:val="00C90578"/>
    <w:rsid w:val="00D008F1"/>
    <w:rsid w:val="00D1612C"/>
    <w:rsid w:val="00D3369A"/>
    <w:rsid w:val="00E074D0"/>
    <w:rsid w:val="00E450C0"/>
    <w:rsid w:val="00F57669"/>
    <w:rsid w:val="00FA079F"/>
    <w:rsid w:val="00FD0048"/>
    <w:rsid w:val="00FE2657"/>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C86E5B"/>
  </w:style>
  <w:style w:type="paragraph" w:styleId="Cmsor1">
    <w:name w:val="heading 1"/>
    <w:basedOn w:val="Norml"/>
    <w:next w:val="Norml"/>
    <w:link w:val="Cmsor1Char"/>
    <w:uiPriority w:val="9"/>
    <w:qFormat/>
    <w:rsid w:val="00AF0D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asthead">
    <w:name w:val="Masthead"/>
    <w:basedOn w:val="Norml"/>
    <w:rsid w:val="00AF0D49"/>
    <w:pPr>
      <w:spacing w:after="0" w:line="240" w:lineRule="auto"/>
      <w:ind w:left="144"/>
    </w:pPr>
    <w:rPr>
      <w:rFonts w:ascii="Century Gothic" w:eastAsia="Times New Roman" w:hAnsi="Century Gothic" w:cs="Century Gothic"/>
      <w:color w:val="FFFFFF"/>
      <w:sz w:val="96"/>
      <w:szCs w:val="96"/>
      <w:lang w:val="pl-PL" w:eastAsia="pl-PL" w:bidi="pl-PL"/>
    </w:rPr>
  </w:style>
  <w:style w:type="paragraph" w:styleId="lfej">
    <w:name w:val="header"/>
    <w:basedOn w:val="Norml"/>
    <w:link w:val="lfejChar"/>
    <w:uiPriority w:val="99"/>
    <w:semiHidden/>
    <w:unhideWhenUsed/>
    <w:rsid w:val="00AF0D49"/>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AF0D49"/>
  </w:style>
  <w:style w:type="paragraph" w:styleId="llb">
    <w:name w:val="footer"/>
    <w:basedOn w:val="Norml"/>
    <w:link w:val="llbChar"/>
    <w:uiPriority w:val="99"/>
    <w:unhideWhenUsed/>
    <w:rsid w:val="00AF0D49"/>
    <w:pPr>
      <w:tabs>
        <w:tab w:val="center" w:pos="4536"/>
        <w:tab w:val="right" w:pos="9072"/>
      </w:tabs>
      <w:spacing w:after="0" w:line="240" w:lineRule="auto"/>
    </w:pPr>
  </w:style>
  <w:style w:type="character" w:customStyle="1" w:styleId="llbChar">
    <w:name w:val="Élőláb Char"/>
    <w:basedOn w:val="Bekezdsalapbettpusa"/>
    <w:link w:val="llb"/>
    <w:uiPriority w:val="99"/>
    <w:rsid w:val="00AF0D49"/>
  </w:style>
  <w:style w:type="paragraph" w:styleId="Buborkszveg">
    <w:name w:val="Balloon Text"/>
    <w:basedOn w:val="Norml"/>
    <w:link w:val="BuborkszvegChar"/>
    <w:uiPriority w:val="99"/>
    <w:semiHidden/>
    <w:unhideWhenUsed/>
    <w:rsid w:val="00AF0D4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F0D49"/>
    <w:rPr>
      <w:rFonts w:ascii="Tahoma" w:hAnsi="Tahoma" w:cs="Tahoma"/>
      <w:sz w:val="16"/>
      <w:szCs w:val="16"/>
    </w:rPr>
  </w:style>
  <w:style w:type="character" w:customStyle="1" w:styleId="Cmsor1Char">
    <w:name w:val="Címsor 1 Char"/>
    <w:basedOn w:val="Bekezdsalapbettpusa"/>
    <w:link w:val="Cmsor1"/>
    <w:uiPriority w:val="9"/>
    <w:rsid w:val="00AF0D49"/>
    <w:rPr>
      <w:rFonts w:asciiTheme="majorHAnsi" w:eastAsiaTheme="majorEastAsia" w:hAnsiTheme="majorHAnsi" w:cstheme="majorBidi"/>
      <w:b/>
      <w:bCs/>
      <w:color w:val="365F91" w:themeColor="accent1" w:themeShade="BF"/>
      <w:sz w:val="28"/>
      <w:szCs w:val="28"/>
    </w:rPr>
  </w:style>
  <w:style w:type="table" w:styleId="Rcsostblzat">
    <w:name w:val="Table Grid"/>
    <w:basedOn w:val="Normltblzat"/>
    <w:uiPriority w:val="59"/>
    <w:rsid w:val="00AF0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Vilgoslista1jellszn1">
    <w:name w:val="Világos lista – 1. jelölőszín1"/>
    <w:basedOn w:val="Normltblzat"/>
    <w:uiPriority w:val="61"/>
    <w:rsid w:val="0072476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Kzepesrnykols21jellszn1">
    <w:name w:val="Közepes árnyékolás 2 – 1. jelölőszín1"/>
    <w:basedOn w:val="Normltblzat"/>
    <w:uiPriority w:val="64"/>
    <w:rsid w:val="007247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aszerbekezds">
    <w:name w:val="List Paragraph"/>
    <w:basedOn w:val="Norml"/>
    <w:uiPriority w:val="34"/>
    <w:qFormat/>
    <w:rsid w:val="00A9723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233</Words>
  <Characters>1614</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
    </vt:vector>
  </TitlesOfParts>
  <Company>SE</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Judit</dc:creator>
  <cp:lastModifiedBy>Surján Cecília</cp:lastModifiedBy>
  <cp:revision>8</cp:revision>
  <dcterms:created xsi:type="dcterms:W3CDTF">2012-06-18T08:17:00Z</dcterms:created>
  <dcterms:modified xsi:type="dcterms:W3CDTF">2012-11-29T11:47:00Z</dcterms:modified>
</cp:coreProperties>
</file>