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D49" w:rsidRPr="00712D89" w:rsidRDefault="00AF0D49" w:rsidP="00AF0D49">
      <w:pPr>
        <w:jc w:val="center"/>
        <w:rPr>
          <w:rFonts w:asciiTheme="majorHAnsi" w:hAnsiTheme="majorHAnsi"/>
          <w:lang w:val="en-GB"/>
        </w:rPr>
      </w:pPr>
      <w:r w:rsidRPr="00712D89">
        <w:rPr>
          <w:rFonts w:asciiTheme="majorHAnsi" w:hAnsiTheme="majorHAnsi"/>
          <w:noProof/>
          <w:lang w:eastAsia="hu-HU"/>
        </w:rPr>
        <w:drawing>
          <wp:inline distT="0" distB="0" distL="0" distR="0">
            <wp:extent cx="1988185" cy="743585"/>
            <wp:effectExtent l="19050" t="0" r="0" b="0"/>
            <wp:docPr id="1" name="Kép 1" descr="Rysun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sunek1"/>
                    <pic:cNvPicPr>
                      <a:picLocks noChangeAspect="1" noChangeArrowheads="1"/>
                    </pic:cNvPicPr>
                  </pic:nvPicPr>
                  <pic:blipFill>
                    <a:blip r:embed="rId7" cstate="print"/>
                    <a:srcRect/>
                    <a:stretch>
                      <a:fillRect/>
                    </a:stretch>
                  </pic:blipFill>
                  <pic:spPr bwMode="auto">
                    <a:xfrm>
                      <a:off x="0" y="0"/>
                      <a:ext cx="1988185" cy="743585"/>
                    </a:xfrm>
                    <a:prstGeom prst="rect">
                      <a:avLst/>
                    </a:prstGeom>
                    <a:noFill/>
                    <a:ln w="9525">
                      <a:noFill/>
                      <a:miter lim="800000"/>
                      <a:headEnd/>
                      <a:tailEnd/>
                    </a:ln>
                  </pic:spPr>
                </pic:pic>
              </a:graphicData>
            </a:graphic>
          </wp:inline>
        </w:drawing>
      </w:r>
    </w:p>
    <w:p w:rsidR="00AF0D49" w:rsidRPr="00712D89" w:rsidRDefault="00FE3509" w:rsidP="00106E95">
      <w:pPr>
        <w:pStyle w:val="Cmsor1"/>
        <w:jc w:val="center"/>
        <w:rPr>
          <w:lang w:val="en-GB"/>
        </w:rPr>
      </w:pPr>
      <w:r w:rsidRPr="00712D89">
        <w:rPr>
          <w:lang w:val="en-GB"/>
        </w:rPr>
        <w:t>C9 Operating theatre performance</w:t>
      </w:r>
    </w:p>
    <w:p w:rsidR="00F76DB2" w:rsidRPr="00712D89" w:rsidRDefault="00F76DB2" w:rsidP="00F76DB2">
      <w:pPr>
        <w:rPr>
          <w:rFonts w:asciiTheme="majorHAnsi" w:hAnsiTheme="majorHAnsi"/>
          <w:lang w:val="en-GB"/>
        </w:rPr>
      </w:pPr>
    </w:p>
    <w:tbl>
      <w:tblPr>
        <w:tblStyle w:val="Kzepesrnykols21jellszn1"/>
        <w:tblW w:w="0" w:type="auto"/>
        <w:tblLook w:val="04A0"/>
      </w:tblPr>
      <w:tblGrid>
        <w:gridCol w:w="3085"/>
        <w:gridCol w:w="6127"/>
      </w:tblGrid>
      <w:tr w:rsidR="00AF0D49" w:rsidRPr="00106E95" w:rsidTr="00724762">
        <w:trPr>
          <w:cnfStyle w:val="100000000000"/>
        </w:trPr>
        <w:tc>
          <w:tcPr>
            <w:cnfStyle w:val="001000000100"/>
            <w:tcW w:w="3085" w:type="dxa"/>
          </w:tcPr>
          <w:p w:rsidR="00AF0D49" w:rsidRPr="00106E95" w:rsidRDefault="00AF0D49" w:rsidP="00106E95">
            <w:pPr>
              <w:spacing w:before="120" w:after="120"/>
              <w:rPr>
                <w:lang w:val="en-GB"/>
              </w:rPr>
            </w:pPr>
            <w:bookmarkStart w:id="0" w:name="_Ref248808447"/>
            <w:r w:rsidRPr="00106E95">
              <w:rPr>
                <w:rFonts w:cs="Arial"/>
                <w:lang w:val="en-GB"/>
              </w:rPr>
              <w:t>Short name</w:t>
            </w:r>
            <w:bookmarkEnd w:id="0"/>
          </w:p>
        </w:tc>
        <w:tc>
          <w:tcPr>
            <w:tcW w:w="6127" w:type="dxa"/>
          </w:tcPr>
          <w:p w:rsidR="00AF0D49" w:rsidRPr="00106E95" w:rsidRDefault="00FE3509" w:rsidP="00106E95">
            <w:pPr>
              <w:tabs>
                <w:tab w:val="left" w:pos="72"/>
              </w:tabs>
              <w:spacing w:before="120" w:after="120"/>
              <w:ind w:left="72"/>
              <w:jc w:val="both"/>
              <w:cnfStyle w:val="100000000000"/>
              <w:rPr>
                <w:lang w:val="en-GB"/>
              </w:rPr>
            </w:pPr>
            <w:r w:rsidRPr="00106E95">
              <w:rPr>
                <w:bCs w:val="0"/>
                <w:lang w:val="en-GB"/>
              </w:rPr>
              <w:t>Operating theatre performance</w:t>
            </w:r>
          </w:p>
        </w:tc>
      </w:tr>
      <w:tr w:rsidR="00AF0D49" w:rsidRPr="00106E95" w:rsidTr="00724762">
        <w:trPr>
          <w:cnfStyle w:val="000000100000"/>
        </w:trPr>
        <w:tc>
          <w:tcPr>
            <w:cnfStyle w:val="001000000000"/>
            <w:tcW w:w="3085" w:type="dxa"/>
          </w:tcPr>
          <w:p w:rsidR="00AF0D49" w:rsidRPr="00106E95" w:rsidRDefault="00AF0D49" w:rsidP="00106E95">
            <w:pPr>
              <w:spacing w:before="120" w:after="120"/>
              <w:rPr>
                <w:lang w:val="en-GB"/>
              </w:rPr>
            </w:pPr>
            <w:bookmarkStart w:id="1" w:name="_Ref248811004"/>
            <w:r w:rsidRPr="00106E95">
              <w:rPr>
                <w:lang w:val="en-GB"/>
              </w:rPr>
              <w:t>Detailed name</w:t>
            </w:r>
            <w:bookmarkEnd w:id="1"/>
          </w:p>
        </w:tc>
        <w:tc>
          <w:tcPr>
            <w:tcW w:w="6127" w:type="dxa"/>
          </w:tcPr>
          <w:p w:rsidR="00AF0D49" w:rsidRPr="00106E95" w:rsidRDefault="00FE3509" w:rsidP="00106E95">
            <w:pPr>
              <w:spacing w:before="120" w:after="120"/>
              <w:jc w:val="both"/>
              <w:cnfStyle w:val="000000100000"/>
              <w:rPr>
                <w:lang w:val="en-GB"/>
              </w:rPr>
            </w:pPr>
            <w:r w:rsidRPr="00106E95">
              <w:rPr>
                <w:lang w:val="en-GB"/>
              </w:rPr>
              <w:t>Efficiency of use of the operating theatre for elective and emergency surgery (inpatient and outpatient).</w:t>
            </w:r>
          </w:p>
        </w:tc>
      </w:tr>
      <w:tr w:rsidR="00AF0D49" w:rsidRPr="00106E95" w:rsidTr="00724762">
        <w:tc>
          <w:tcPr>
            <w:cnfStyle w:val="001000000000"/>
            <w:tcW w:w="3085" w:type="dxa"/>
          </w:tcPr>
          <w:p w:rsidR="00AF0D49" w:rsidRPr="00106E95" w:rsidRDefault="00AF0D49" w:rsidP="00106E95">
            <w:pPr>
              <w:spacing w:before="120" w:after="120"/>
              <w:rPr>
                <w:lang w:val="en-GB"/>
              </w:rPr>
            </w:pPr>
            <w:bookmarkStart w:id="2" w:name="_Ref248811077"/>
            <w:r w:rsidRPr="00106E95">
              <w:rPr>
                <w:lang w:val="en-GB"/>
              </w:rPr>
              <w:t>Short definition</w:t>
            </w:r>
            <w:bookmarkEnd w:id="2"/>
          </w:p>
        </w:tc>
        <w:tc>
          <w:tcPr>
            <w:tcW w:w="6127" w:type="dxa"/>
          </w:tcPr>
          <w:p w:rsidR="00AF0D49" w:rsidRPr="00106E95" w:rsidRDefault="00FE3509" w:rsidP="00106E95">
            <w:pPr>
              <w:spacing w:before="120" w:after="120"/>
              <w:jc w:val="both"/>
              <w:cnfStyle w:val="000000000000"/>
              <w:rPr>
                <w:lang w:val="en-GB"/>
              </w:rPr>
            </w:pPr>
            <w:r w:rsidRPr="00106E95">
              <w:rPr>
                <w:lang w:val="en-GB"/>
              </w:rPr>
              <w:t>Percent of usefully spend time (directly with patient) in operating theatre.</w:t>
            </w:r>
          </w:p>
        </w:tc>
      </w:tr>
      <w:tr w:rsidR="00AF0D49" w:rsidRPr="00106E95" w:rsidTr="00724762">
        <w:trPr>
          <w:cnfStyle w:val="000000100000"/>
        </w:trPr>
        <w:tc>
          <w:tcPr>
            <w:cnfStyle w:val="001000000000"/>
            <w:tcW w:w="3085" w:type="dxa"/>
          </w:tcPr>
          <w:p w:rsidR="00AF0D49" w:rsidRPr="00106E95" w:rsidRDefault="00AF0D49" w:rsidP="00106E95">
            <w:pPr>
              <w:spacing w:before="120" w:after="120"/>
              <w:rPr>
                <w:lang w:val="en-GB"/>
              </w:rPr>
            </w:pPr>
            <w:bookmarkStart w:id="3" w:name="_Ref248811235"/>
            <w:r w:rsidRPr="00106E95">
              <w:rPr>
                <w:lang w:val="en-GB"/>
              </w:rPr>
              <w:t>Type of indicator</w:t>
            </w:r>
            <w:bookmarkEnd w:id="3"/>
          </w:p>
        </w:tc>
        <w:tc>
          <w:tcPr>
            <w:tcW w:w="6127" w:type="dxa"/>
          </w:tcPr>
          <w:p w:rsidR="00AF0D49" w:rsidRPr="00106E95" w:rsidRDefault="00FE3509" w:rsidP="00106E95">
            <w:pPr>
              <w:spacing w:before="120" w:after="120"/>
              <w:jc w:val="both"/>
              <w:cnfStyle w:val="000000100000"/>
              <w:rPr>
                <w:lang w:val="en-GB"/>
              </w:rPr>
            </w:pPr>
            <w:r w:rsidRPr="00106E95">
              <w:rPr>
                <w:rFonts w:cs="Arial"/>
                <w:lang w:val="en-GB" w:eastAsia="et-EE"/>
              </w:rPr>
              <w:t>Process measure (utilization indicator)</w:t>
            </w:r>
          </w:p>
        </w:tc>
      </w:tr>
      <w:tr w:rsidR="00331034" w:rsidRPr="00106E95" w:rsidTr="00724762">
        <w:tc>
          <w:tcPr>
            <w:cnfStyle w:val="001000000000"/>
            <w:tcW w:w="3085" w:type="dxa"/>
          </w:tcPr>
          <w:p w:rsidR="00331034" w:rsidRPr="00106E95" w:rsidRDefault="00331034" w:rsidP="00106E95">
            <w:pPr>
              <w:spacing w:before="120" w:after="120"/>
              <w:rPr>
                <w:rFonts w:cs="Arial"/>
                <w:iCs/>
                <w:lang w:val="en-GB"/>
              </w:rPr>
            </w:pPr>
            <w:bookmarkStart w:id="4" w:name="_Ref248811212"/>
            <w:r w:rsidRPr="00106E95">
              <w:rPr>
                <w:lang w:val="en-GB"/>
              </w:rPr>
              <w:t>Domain</w:t>
            </w:r>
            <w:bookmarkEnd w:id="4"/>
          </w:p>
        </w:tc>
        <w:tc>
          <w:tcPr>
            <w:tcW w:w="6127" w:type="dxa"/>
          </w:tcPr>
          <w:p w:rsidR="00331034" w:rsidRPr="00106E95" w:rsidRDefault="00FE3509" w:rsidP="00106E95">
            <w:pPr>
              <w:spacing w:before="120" w:after="120"/>
              <w:jc w:val="both"/>
              <w:cnfStyle w:val="000000000000"/>
              <w:rPr>
                <w:rFonts w:cs="Arial"/>
                <w:iCs/>
                <w:lang w:val="en-GB"/>
              </w:rPr>
            </w:pPr>
            <w:r w:rsidRPr="00106E95">
              <w:rPr>
                <w:rFonts w:cs="Arial"/>
                <w:iCs/>
                <w:lang w:val="en-GB"/>
              </w:rPr>
              <w:t>Efficiency, Patient centeredness</w:t>
            </w:r>
          </w:p>
        </w:tc>
      </w:tr>
      <w:tr w:rsidR="00AF0D49" w:rsidRPr="00106E95" w:rsidTr="00724762">
        <w:trPr>
          <w:cnfStyle w:val="000000100000"/>
        </w:trPr>
        <w:tc>
          <w:tcPr>
            <w:cnfStyle w:val="001000000000"/>
            <w:tcW w:w="3085" w:type="dxa"/>
          </w:tcPr>
          <w:p w:rsidR="00AF0D49" w:rsidRPr="00106E95" w:rsidRDefault="00AF0D49" w:rsidP="00106E95">
            <w:pPr>
              <w:spacing w:before="120" w:after="120"/>
              <w:rPr>
                <w:rFonts w:cs="Arial"/>
                <w:iCs/>
                <w:lang w:val="en-GB"/>
              </w:rPr>
            </w:pPr>
            <w:r w:rsidRPr="00106E95">
              <w:rPr>
                <w:rFonts w:cs="Arial"/>
                <w:iCs/>
                <w:lang w:val="en-GB"/>
              </w:rPr>
              <w:t>Numerator</w:t>
            </w:r>
          </w:p>
        </w:tc>
        <w:tc>
          <w:tcPr>
            <w:tcW w:w="6127" w:type="dxa"/>
          </w:tcPr>
          <w:p w:rsidR="00AF0D49" w:rsidRPr="00106E95" w:rsidRDefault="00FE3509" w:rsidP="00106E95">
            <w:pPr>
              <w:spacing w:before="120" w:after="120"/>
              <w:jc w:val="both"/>
              <w:cnfStyle w:val="000000100000"/>
              <w:rPr>
                <w:rFonts w:cs="Arial"/>
                <w:iCs/>
                <w:lang w:val="en-GB"/>
              </w:rPr>
            </w:pPr>
            <w:r w:rsidRPr="00106E95">
              <w:rPr>
                <w:rFonts w:cs="Arial"/>
                <w:lang w:val="en-GB"/>
              </w:rPr>
              <w:t>Sum of patient time in the operating room during normal staffed hours</w:t>
            </w:r>
          </w:p>
        </w:tc>
      </w:tr>
      <w:tr w:rsidR="00AF0D49" w:rsidRPr="00106E95" w:rsidTr="00724762">
        <w:tc>
          <w:tcPr>
            <w:cnfStyle w:val="001000000000"/>
            <w:tcW w:w="3085" w:type="dxa"/>
          </w:tcPr>
          <w:p w:rsidR="00AF0D49" w:rsidRPr="00106E95" w:rsidRDefault="00AF0D49" w:rsidP="00106E95">
            <w:pPr>
              <w:spacing w:before="120" w:after="120"/>
              <w:rPr>
                <w:rFonts w:cs="Arial"/>
                <w:iCs/>
                <w:lang w:val="en-GB"/>
              </w:rPr>
            </w:pPr>
            <w:r w:rsidRPr="00106E95">
              <w:rPr>
                <w:rFonts w:cs="Arial"/>
                <w:iCs/>
                <w:lang w:val="en-GB"/>
              </w:rPr>
              <w:t>Denominator</w:t>
            </w:r>
          </w:p>
        </w:tc>
        <w:tc>
          <w:tcPr>
            <w:tcW w:w="6127" w:type="dxa"/>
          </w:tcPr>
          <w:p w:rsidR="00AF0D49" w:rsidRPr="00106E95" w:rsidRDefault="00FE3509" w:rsidP="00106E95">
            <w:pPr>
              <w:spacing w:before="120" w:after="120"/>
              <w:jc w:val="both"/>
              <w:cnfStyle w:val="000000000000"/>
              <w:rPr>
                <w:rFonts w:cs="Arial"/>
                <w:iCs/>
                <w:lang w:val="en-GB"/>
              </w:rPr>
            </w:pPr>
            <w:r w:rsidRPr="00106E95">
              <w:rPr>
                <w:rFonts w:cs="Arial"/>
                <w:lang w:val="en-GB"/>
              </w:rPr>
              <w:t>Total number of hours staffed per local norms</w:t>
            </w:r>
          </w:p>
        </w:tc>
      </w:tr>
      <w:tr w:rsidR="00AF0D49" w:rsidRPr="00106E95" w:rsidTr="00724762">
        <w:trPr>
          <w:cnfStyle w:val="000000100000"/>
        </w:trPr>
        <w:tc>
          <w:tcPr>
            <w:cnfStyle w:val="001000000000"/>
            <w:tcW w:w="3085" w:type="dxa"/>
          </w:tcPr>
          <w:p w:rsidR="00AF0D49" w:rsidRPr="00106E95" w:rsidRDefault="00AF0D49" w:rsidP="00106E95">
            <w:pPr>
              <w:spacing w:before="120" w:after="120"/>
              <w:rPr>
                <w:rFonts w:cs="Arial"/>
                <w:iCs/>
                <w:lang w:val="en-GB"/>
              </w:rPr>
            </w:pPr>
            <w:r w:rsidRPr="00106E95">
              <w:rPr>
                <w:rFonts w:cs="Arial"/>
                <w:iCs/>
                <w:lang w:val="en-GB"/>
              </w:rPr>
              <w:t>Exclusion</w:t>
            </w:r>
          </w:p>
        </w:tc>
        <w:tc>
          <w:tcPr>
            <w:tcW w:w="6127" w:type="dxa"/>
          </w:tcPr>
          <w:p w:rsidR="0033740B" w:rsidRPr="00106E95" w:rsidRDefault="0033740B" w:rsidP="00106E95">
            <w:pPr>
              <w:pStyle w:val="Szvegtrzs"/>
              <w:tabs>
                <w:tab w:val="clear" w:pos="3326"/>
              </w:tabs>
              <w:autoSpaceDE w:val="0"/>
              <w:autoSpaceDN w:val="0"/>
              <w:adjustRightInd w:val="0"/>
              <w:spacing w:before="120" w:line="240" w:lineRule="auto"/>
              <w:cnfStyle w:val="000000100000"/>
              <w:rPr>
                <w:rFonts w:asciiTheme="minorHAnsi" w:hAnsiTheme="minorHAnsi"/>
                <w:sz w:val="22"/>
                <w:lang w:val="en-GB"/>
              </w:rPr>
            </w:pPr>
            <w:r w:rsidRPr="00106E95">
              <w:rPr>
                <w:rFonts w:asciiTheme="minorHAnsi" w:hAnsiTheme="minorHAnsi"/>
                <w:sz w:val="22"/>
                <w:lang w:val="en-GB"/>
              </w:rPr>
              <w:t>This indicator is only computed for centrally managed rooms.</w:t>
            </w:r>
          </w:p>
          <w:p w:rsidR="0033740B" w:rsidRPr="00106E95" w:rsidRDefault="0033740B" w:rsidP="00106E95">
            <w:pPr>
              <w:pStyle w:val="Szvegtrzs"/>
              <w:tabs>
                <w:tab w:val="clear" w:pos="3326"/>
              </w:tabs>
              <w:autoSpaceDE w:val="0"/>
              <w:autoSpaceDN w:val="0"/>
              <w:adjustRightInd w:val="0"/>
              <w:spacing w:before="120" w:line="240" w:lineRule="auto"/>
              <w:cnfStyle w:val="000000100000"/>
              <w:rPr>
                <w:rFonts w:asciiTheme="minorHAnsi" w:hAnsiTheme="minorHAnsi"/>
                <w:sz w:val="22"/>
                <w:lang w:val="en-GB"/>
              </w:rPr>
            </w:pPr>
            <w:r w:rsidRPr="00106E95">
              <w:rPr>
                <w:rFonts w:asciiTheme="minorHAnsi" w:hAnsiTheme="minorHAnsi"/>
                <w:sz w:val="22"/>
                <w:lang w:val="en-GB"/>
              </w:rPr>
              <w:t xml:space="preserve">Exclusion: </w:t>
            </w:r>
          </w:p>
          <w:p w:rsidR="00106E95" w:rsidRDefault="00FE3509" w:rsidP="00106E95">
            <w:pPr>
              <w:pStyle w:val="Szvegtrzs"/>
              <w:numPr>
                <w:ilvl w:val="0"/>
                <w:numId w:val="5"/>
              </w:numPr>
              <w:tabs>
                <w:tab w:val="clear" w:pos="3326"/>
              </w:tabs>
              <w:autoSpaceDE w:val="0"/>
              <w:autoSpaceDN w:val="0"/>
              <w:adjustRightInd w:val="0"/>
              <w:spacing w:before="120" w:line="240" w:lineRule="auto"/>
              <w:cnfStyle w:val="000000100000"/>
              <w:rPr>
                <w:rFonts w:asciiTheme="minorHAnsi" w:hAnsiTheme="minorHAnsi"/>
                <w:sz w:val="22"/>
                <w:lang w:val="en-GB"/>
              </w:rPr>
            </w:pPr>
            <w:r w:rsidRPr="00106E95">
              <w:rPr>
                <w:rFonts w:asciiTheme="minorHAnsi" w:hAnsiTheme="minorHAnsi"/>
                <w:sz w:val="22"/>
                <w:lang w:val="en-GB"/>
              </w:rPr>
              <w:t xml:space="preserve">closed facilities (e.g. because of lack of staff) - as the number of regular staffed hours is null, </w:t>
            </w:r>
          </w:p>
          <w:p w:rsidR="00AF0D49" w:rsidRPr="00106E95" w:rsidRDefault="00FE3509" w:rsidP="00106E95">
            <w:pPr>
              <w:pStyle w:val="Szvegtrzs"/>
              <w:numPr>
                <w:ilvl w:val="0"/>
                <w:numId w:val="5"/>
              </w:numPr>
              <w:tabs>
                <w:tab w:val="clear" w:pos="3326"/>
              </w:tabs>
              <w:autoSpaceDE w:val="0"/>
              <w:autoSpaceDN w:val="0"/>
              <w:adjustRightInd w:val="0"/>
              <w:spacing w:before="120" w:line="240" w:lineRule="auto"/>
              <w:cnfStyle w:val="000000100000"/>
              <w:rPr>
                <w:rFonts w:asciiTheme="minorHAnsi" w:hAnsiTheme="minorHAnsi"/>
                <w:sz w:val="22"/>
                <w:lang w:val="en-GB"/>
              </w:rPr>
            </w:pPr>
            <w:r w:rsidRPr="00106E95">
              <w:rPr>
                <w:rFonts w:asciiTheme="minorHAnsi" w:hAnsiTheme="minorHAnsi"/>
                <w:sz w:val="22"/>
                <w:lang w:val="en-GB"/>
              </w:rPr>
              <w:t>induction and recovery rooms</w:t>
            </w:r>
          </w:p>
        </w:tc>
      </w:tr>
      <w:tr w:rsidR="00AF0D49" w:rsidRPr="00106E95" w:rsidTr="00724762">
        <w:tc>
          <w:tcPr>
            <w:cnfStyle w:val="001000000000"/>
            <w:tcW w:w="3085" w:type="dxa"/>
          </w:tcPr>
          <w:p w:rsidR="00AF0D49" w:rsidRPr="00106E95" w:rsidRDefault="00AF0D49" w:rsidP="00106E95">
            <w:pPr>
              <w:spacing w:before="120" w:after="120"/>
              <w:rPr>
                <w:lang w:val="en-GB"/>
              </w:rPr>
            </w:pPr>
            <w:r w:rsidRPr="00106E95">
              <w:rPr>
                <w:lang w:val="en-GB"/>
              </w:rPr>
              <w:t>Dimension</w:t>
            </w:r>
          </w:p>
        </w:tc>
        <w:tc>
          <w:tcPr>
            <w:tcW w:w="6127" w:type="dxa"/>
          </w:tcPr>
          <w:p w:rsidR="00AF0D49" w:rsidRPr="00106E95" w:rsidRDefault="00106E95" w:rsidP="00106E95">
            <w:pPr>
              <w:spacing w:before="120" w:after="120"/>
              <w:jc w:val="both"/>
              <w:cnfStyle w:val="000000000000"/>
              <w:rPr>
                <w:lang w:val="en-GB"/>
              </w:rPr>
            </w:pPr>
            <w:r w:rsidRPr="00106E95">
              <w:rPr>
                <w:lang w:val="en-GB"/>
              </w:rPr>
              <w:t>Percent</w:t>
            </w:r>
          </w:p>
        </w:tc>
      </w:tr>
      <w:tr w:rsidR="00AF0D49" w:rsidRPr="00106E95" w:rsidTr="00724762">
        <w:trPr>
          <w:cnfStyle w:val="000000100000"/>
        </w:trPr>
        <w:tc>
          <w:tcPr>
            <w:cnfStyle w:val="001000000000"/>
            <w:tcW w:w="3085" w:type="dxa"/>
          </w:tcPr>
          <w:p w:rsidR="00AF0D49" w:rsidRPr="00106E95" w:rsidRDefault="00AF0D49" w:rsidP="00106E95">
            <w:pPr>
              <w:spacing w:before="120" w:after="120"/>
              <w:rPr>
                <w:lang w:val="en-GB"/>
              </w:rPr>
            </w:pPr>
            <w:bookmarkStart w:id="5" w:name="_Ref248811177"/>
            <w:r w:rsidRPr="00106E95">
              <w:rPr>
                <w:lang w:val="en-GB"/>
              </w:rPr>
              <w:t>Data source</w:t>
            </w:r>
            <w:bookmarkEnd w:id="5"/>
          </w:p>
          <w:p w:rsidR="00331034" w:rsidRPr="00106E95" w:rsidRDefault="00331034" w:rsidP="00106E95">
            <w:pPr>
              <w:spacing w:before="120" w:after="120"/>
              <w:rPr>
                <w:lang w:val="en-GB"/>
              </w:rPr>
            </w:pPr>
          </w:p>
        </w:tc>
        <w:tc>
          <w:tcPr>
            <w:tcW w:w="6127" w:type="dxa"/>
          </w:tcPr>
          <w:p w:rsidR="00AF0D49" w:rsidRPr="00106E95" w:rsidRDefault="00FE3509" w:rsidP="00106E95">
            <w:pPr>
              <w:autoSpaceDE w:val="0"/>
              <w:autoSpaceDN w:val="0"/>
              <w:adjustRightInd w:val="0"/>
              <w:spacing w:before="120" w:after="120"/>
              <w:ind w:left="72"/>
              <w:jc w:val="both"/>
              <w:cnfStyle w:val="000000100000"/>
              <w:rPr>
                <w:lang w:val="en-GB"/>
              </w:rPr>
            </w:pPr>
            <w:r w:rsidRPr="00106E95">
              <w:rPr>
                <w:rFonts w:cs="Arial"/>
                <w:bCs/>
                <w:lang w:val="en-GB" w:eastAsia="es-ES"/>
              </w:rPr>
              <w:t>Data collected prospectively for one month, repeat</w:t>
            </w:r>
            <w:r w:rsidR="00712D89" w:rsidRPr="00106E95">
              <w:rPr>
                <w:rFonts w:cs="Arial"/>
                <w:bCs/>
                <w:lang w:val="en-GB" w:eastAsia="es-ES"/>
              </w:rPr>
              <w:t>ed every 3 or 6 months. Holiday</w:t>
            </w:r>
            <w:r w:rsidRPr="00106E95">
              <w:rPr>
                <w:rFonts w:cs="Arial"/>
                <w:bCs/>
                <w:lang w:val="en-GB" w:eastAsia="es-ES"/>
              </w:rPr>
              <w:t xml:space="preserve"> period</w:t>
            </w:r>
            <w:r w:rsidR="00712D89" w:rsidRPr="00106E95">
              <w:rPr>
                <w:rFonts w:cs="Arial"/>
                <w:bCs/>
                <w:lang w:val="en-GB" w:eastAsia="es-ES"/>
              </w:rPr>
              <w:t>s</w:t>
            </w:r>
            <w:r w:rsidRPr="00106E95">
              <w:rPr>
                <w:rFonts w:cs="Arial"/>
                <w:bCs/>
                <w:lang w:val="en-GB" w:eastAsia="es-ES"/>
              </w:rPr>
              <w:t xml:space="preserve"> should be avoided.</w:t>
            </w:r>
            <w:r w:rsidR="004D42FF" w:rsidRPr="00106E95">
              <w:rPr>
                <w:rFonts w:cs="Arial"/>
                <w:bCs/>
                <w:lang w:val="en-GB" w:eastAsia="es-ES"/>
              </w:rPr>
              <w:t xml:space="preserve"> </w:t>
            </w:r>
            <w:r w:rsidR="004D42FF" w:rsidRPr="00106E95">
              <w:rPr>
                <w:rFonts w:cs="Arial"/>
                <w:lang w:val="en-GB" w:eastAsia="es-ES"/>
              </w:rPr>
              <w:t>Data collection is t</w:t>
            </w:r>
            <w:r w:rsidRPr="00106E95">
              <w:rPr>
                <w:rFonts w:cs="Arial"/>
                <w:lang w:val="en-GB" w:eastAsia="es-ES"/>
              </w:rPr>
              <w:t xml:space="preserve">o be organised nationally or locally depending on the feasibility. </w:t>
            </w:r>
          </w:p>
        </w:tc>
      </w:tr>
      <w:tr w:rsidR="00FA079F" w:rsidRPr="00106E95" w:rsidTr="00724762">
        <w:tc>
          <w:tcPr>
            <w:cnfStyle w:val="001000000000"/>
            <w:tcW w:w="3085" w:type="dxa"/>
          </w:tcPr>
          <w:p w:rsidR="00FA079F" w:rsidRPr="00106E95" w:rsidRDefault="00FA079F" w:rsidP="00106E95">
            <w:pPr>
              <w:spacing w:before="120" w:after="120"/>
              <w:rPr>
                <w:lang w:val="en-GB"/>
              </w:rPr>
            </w:pPr>
            <w:r w:rsidRPr="00106E95">
              <w:rPr>
                <w:lang w:val="en-GB"/>
              </w:rPr>
              <w:t>Minimum case number</w:t>
            </w:r>
          </w:p>
        </w:tc>
        <w:tc>
          <w:tcPr>
            <w:tcW w:w="6127" w:type="dxa"/>
          </w:tcPr>
          <w:p w:rsidR="00FA079F" w:rsidRPr="00106E95" w:rsidRDefault="00FE3509" w:rsidP="00106E95">
            <w:pPr>
              <w:spacing w:before="120" w:after="120"/>
              <w:jc w:val="both"/>
              <w:cnfStyle w:val="000000000000"/>
              <w:rPr>
                <w:lang w:val="en-GB"/>
              </w:rPr>
            </w:pPr>
            <w:proofErr w:type="spellStart"/>
            <w:r w:rsidRPr="00106E95">
              <w:rPr>
                <w:lang w:val="en-GB"/>
              </w:rPr>
              <w:t>n</w:t>
            </w:r>
            <w:r w:rsidR="00106E95">
              <w:rPr>
                <w:lang w:val="en-GB"/>
              </w:rPr>
              <w:t>.</w:t>
            </w:r>
            <w:r w:rsidRPr="00106E95">
              <w:rPr>
                <w:lang w:val="en-GB"/>
              </w:rPr>
              <w:t>a</w:t>
            </w:r>
            <w:proofErr w:type="spellEnd"/>
            <w:r w:rsidR="00106E95">
              <w:rPr>
                <w:lang w:val="en-GB"/>
              </w:rPr>
              <w:t>.</w:t>
            </w:r>
          </w:p>
        </w:tc>
      </w:tr>
      <w:tr w:rsidR="00331034" w:rsidRPr="00106E95" w:rsidTr="00724762">
        <w:trPr>
          <w:cnfStyle w:val="000000100000"/>
        </w:trPr>
        <w:tc>
          <w:tcPr>
            <w:cnfStyle w:val="001000000000"/>
            <w:tcW w:w="3085" w:type="dxa"/>
          </w:tcPr>
          <w:p w:rsidR="00331034" w:rsidRPr="00106E95" w:rsidRDefault="00331034" w:rsidP="00106E95">
            <w:pPr>
              <w:spacing w:before="120" w:after="120"/>
              <w:rPr>
                <w:lang w:val="en-GB"/>
              </w:rPr>
            </w:pPr>
            <w:proofErr w:type="spellStart"/>
            <w:r w:rsidRPr="00106E95">
              <w:rPr>
                <w:lang w:val="en-GB"/>
              </w:rPr>
              <w:t>Subindicators</w:t>
            </w:r>
            <w:proofErr w:type="spellEnd"/>
          </w:p>
        </w:tc>
        <w:tc>
          <w:tcPr>
            <w:tcW w:w="6127" w:type="dxa"/>
          </w:tcPr>
          <w:p w:rsidR="00A9723D" w:rsidRPr="00106E95" w:rsidRDefault="00712D89" w:rsidP="00106E95">
            <w:pPr>
              <w:pStyle w:val="Listaszerbekezds"/>
              <w:numPr>
                <w:ilvl w:val="0"/>
                <w:numId w:val="4"/>
              </w:numPr>
              <w:spacing w:before="120" w:after="120"/>
              <w:jc w:val="both"/>
              <w:cnfStyle w:val="000000100000"/>
              <w:rPr>
                <w:lang w:val="en-GB"/>
              </w:rPr>
            </w:pPr>
            <w:r w:rsidRPr="00106E95">
              <w:rPr>
                <w:lang w:val="en-GB"/>
              </w:rPr>
              <w:t xml:space="preserve">surgery </w:t>
            </w:r>
            <w:r w:rsidR="00FE3509" w:rsidRPr="00106E95">
              <w:rPr>
                <w:lang w:val="en-GB"/>
              </w:rPr>
              <w:t>performance</w:t>
            </w:r>
          </w:p>
          <w:p w:rsidR="00FE3509" w:rsidRPr="00106E95" w:rsidRDefault="00FE3509" w:rsidP="00106E95">
            <w:pPr>
              <w:pStyle w:val="Listaszerbekezds"/>
              <w:numPr>
                <w:ilvl w:val="0"/>
                <w:numId w:val="4"/>
              </w:numPr>
              <w:spacing w:before="120" w:after="120"/>
              <w:jc w:val="both"/>
              <w:cnfStyle w:val="000000100000"/>
              <w:rPr>
                <w:lang w:val="en-GB"/>
              </w:rPr>
            </w:pPr>
            <w:r w:rsidRPr="00106E95">
              <w:rPr>
                <w:lang w:val="en-GB"/>
              </w:rPr>
              <w:t>average time in OR</w:t>
            </w:r>
          </w:p>
          <w:p w:rsidR="00FE3509" w:rsidRPr="00106E95" w:rsidRDefault="00FE3509" w:rsidP="00106E95">
            <w:pPr>
              <w:pStyle w:val="Listaszerbekezds"/>
              <w:numPr>
                <w:ilvl w:val="0"/>
                <w:numId w:val="4"/>
              </w:numPr>
              <w:spacing w:before="120" w:after="120"/>
              <w:jc w:val="both"/>
              <w:cnfStyle w:val="000000100000"/>
              <w:rPr>
                <w:lang w:val="en-GB"/>
              </w:rPr>
            </w:pPr>
            <w:r w:rsidRPr="00106E95">
              <w:rPr>
                <w:lang w:val="en-GB"/>
              </w:rPr>
              <w:t xml:space="preserve">average time of </w:t>
            </w:r>
            <w:r w:rsidR="00712D89" w:rsidRPr="00106E95">
              <w:rPr>
                <w:lang w:val="en-GB"/>
              </w:rPr>
              <w:t>anaesthesia</w:t>
            </w:r>
          </w:p>
          <w:p w:rsidR="00FE3509" w:rsidRPr="00106E95" w:rsidRDefault="00FE3509" w:rsidP="00106E95">
            <w:pPr>
              <w:pStyle w:val="Listaszerbekezds"/>
              <w:numPr>
                <w:ilvl w:val="0"/>
                <w:numId w:val="4"/>
              </w:numPr>
              <w:spacing w:before="120" w:after="120"/>
              <w:jc w:val="both"/>
              <w:cnfStyle w:val="000000100000"/>
              <w:rPr>
                <w:lang w:val="en-GB"/>
              </w:rPr>
            </w:pPr>
            <w:r w:rsidRPr="00106E95">
              <w:rPr>
                <w:lang w:val="en-GB"/>
              </w:rPr>
              <w:t>average time of surgery</w:t>
            </w:r>
          </w:p>
          <w:p w:rsidR="00FC0129" w:rsidRPr="00106E95" w:rsidRDefault="00106E95" w:rsidP="00106E95">
            <w:pPr>
              <w:pStyle w:val="Listaszerbekezds"/>
              <w:numPr>
                <w:ilvl w:val="0"/>
                <w:numId w:val="4"/>
              </w:numPr>
              <w:spacing w:before="120" w:after="120"/>
              <w:jc w:val="both"/>
              <w:cnfStyle w:val="000000100000"/>
              <w:rPr>
                <w:lang w:val="en-GB"/>
              </w:rPr>
            </w:pPr>
            <w:r>
              <w:rPr>
                <w:lang w:val="en-GB"/>
              </w:rPr>
              <w:t xml:space="preserve">average time </w:t>
            </w:r>
            <w:r w:rsidR="00FC0129" w:rsidRPr="00106E95">
              <w:rPr>
                <w:lang w:val="en-GB"/>
              </w:rPr>
              <w:t>before surgery</w:t>
            </w:r>
          </w:p>
          <w:p w:rsidR="00FE3509" w:rsidRPr="00106E95" w:rsidRDefault="00FE3509" w:rsidP="00106E95">
            <w:pPr>
              <w:pStyle w:val="Listaszerbekezds"/>
              <w:numPr>
                <w:ilvl w:val="0"/>
                <w:numId w:val="4"/>
              </w:numPr>
              <w:spacing w:before="120" w:after="120"/>
              <w:jc w:val="both"/>
              <w:cnfStyle w:val="000000100000"/>
              <w:rPr>
                <w:lang w:val="en-GB"/>
              </w:rPr>
            </w:pPr>
            <w:r w:rsidRPr="00106E95">
              <w:rPr>
                <w:lang w:val="en-GB"/>
              </w:rPr>
              <w:t>number of days with overtime</w:t>
            </w:r>
          </w:p>
          <w:p w:rsidR="00FE3509" w:rsidRPr="00106E95" w:rsidRDefault="00FE3509" w:rsidP="00106E95">
            <w:pPr>
              <w:pStyle w:val="Listaszerbekezds"/>
              <w:numPr>
                <w:ilvl w:val="0"/>
                <w:numId w:val="4"/>
              </w:numPr>
              <w:spacing w:before="120" w:after="120"/>
              <w:jc w:val="both"/>
              <w:cnfStyle w:val="000000100000"/>
              <w:rPr>
                <w:lang w:val="en-GB"/>
              </w:rPr>
            </w:pPr>
            <w:r w:rsidRPr="00106E95">
              <w:rPr>
                <w:lang w:val="en-GB"/>
              </w:rPr>
              <w:t>average time of overtime</w:t>
            </w:r>
          </w:p>
          <w:p w:rsidR="00FE3509" w:rsidRPr="00106E95" w:rsidRDefault="00FE3509" w:rsidP="00106E95">
            <w:pPr>
              <w:pStyle w:val="Listaszerbekezds"/>
              <w:numPr>
                <w:ilvl w:val="0"/>
                <w:numId w:val="4"/>
              </w:numPr>
              <w:spacing w:before="120" w:after="120"/>
              <w:jc w:val="both"/>
              <w:cnfStyle w:val="000000100000"/>
              <w:rPr>
                <w:lang w:val="en-GB"/>
              </w:rPr>
            </w:pPr>
            <w:r w:rsidRPr="00106E95">
              <w:rPr>
                <w:lang w:val="en-GB"/>
              </w:rPr>
              <w:t>average time of overtime on days with overtime</w:t>
            </w:r>
          </w:p>
        </w:tc>
      </w:tr>
      <w:tr w:rsidR="00331034" w:rsidRPr="00106E95" w:rsidTr="00724762">
        <w:tc>
          <w:tcPr>
            <w:cnfStyle w:val="001000000000"/>
            <w:tcW w:w="3085" w:type="dxa"/>
          </w:tcPr>
          <w:p w:rsidR="00331034" w:rsidRPr="00106E95" w:rsidRDefault="00331034" w:rsidP="00106E95">
            <w:pPr>
              <w:spacing w:before="120" w:after="120"/>
              <w:rPr>
                <w:lang w:val="en-GB"/>
              </w:rPr>
            </w:pPr>
            <w:bookmarkStart w:id="6" w:name="_Ref248811246"/>
            <w:r w:rsidRPr="00106E95">
              <w:rPr>
                <w:lang w:val="en-GB"/>
              </w:rPr>
              <w:t>Adjustment/ stratification</w:t>
            </w:r>
            <w:bookmarkEnd w:id="6"/>
          </w:p>
        </w:tc>
        <w:tc>
          <w:tcPr>
            <w:tcW w:w="6127" w:type="dxa"/>
          </w:tcPr>
          <w:p w:rsidR="00331034" w:rsidRPr="00106E95" w:rsidRDefault="00A9723D" w:rsidP="00106E95">
            <w:pPr>
              <w:spacing w:before="120" w:after="120"/>
              <w:jc w:val="both"/>
              <w:cnfStyle w:val="000000000000"/>
              <w:rPr>
                <w:lang w:val="en-GB"/>
              </w:rPr>
            </w:pPr>
            <w:r w:rsidRPr="00106E95">
              <w:rPr>
                <w:lang w:val="en-GB"/>
              </w:rPr>
              <w:t>-</w:t>
            </w:r>
          </w:p>
        </w:tc>
      </w:tr>
      <w:tr w:rsidR="00331034" w:rsidRPr="00106E95" w:rsidTr="00724762">
        <w:trPr>
          <w:cnfStyle w:val="000000100000"/>
        </w:trPr>
        <w:tc>
          <w:tcPr>
            <w:cnfStyle w:val="001000000000"/>
            <w:tcW w:w="3085" w:type="dxa"/>
          </w:tcPr>
          <w:p w:rsidR="00331034" w:rsidRPr="00106E95" w:rsidRDefault="00331034" w:rsidP="00106E95">
            <w:pPr>
              <w:spacing w:before="120" w:after="120"/>
              <w:rPr>
                <w:lang w:val="en-GB"/>
              </w:rPr>
            </w:pPr>
            <w:r w:rsidRPr="00106E95">
              <w:rPr>
                <w:lang w:val="en-GB"/>
              </w:rPr>
              <w:lastRenderedPageBreak/>
              <w:t>Interpretation</w:t>
            </w:r>
          </w:p>
        </w:tc>
        <w:tc>
          <w:tcPr>
            <w:tcW w:w="6127" w:type="dxa"/>
          </w:tcPr>
          <w:p w:rsidR="00FE3509" w:rsidRPr="00106E95" w:rsidRDefault="00FE3509" w:rsidP="00106E95">
            <w:pPr>
              <w:spacing w:before="120" w:after="120"/>
              <w:jc w:val="both"/>
              <w:cnfStyle w:val="000000100000"/>
              <w:rPr>
                <w:rFonts w:cs="Arial"/>
                <w:iCs/>
                <w:lang w:val="en-GB"/>
              </w:rPr>
            </w:pPr>
            <w:r w:rsidRPr="00106E95">
              <w:rPr>
                <w:rFonts w:cs="Arial"/>
                <w:iCs/>
                <w:lang w:val="en-GB"/>
              </w:rPr>
              <w:t>Higher utilization rate is better. Though, an extremely high rate may trigger concerns regarding access for emergency patients. The Australian National Demonstration Program targeted an operating room utilization rate of 80-85% and exceeded this target.</w:t>
            </w:r>
          </w:p>
          <w:p w:rsidR="00331034" w:rsidRPr="00106E95" w:rsidRDefault="00FE3509" w:rsidP="00106E95">
            <w:pPr>
              <w:autoSpaceDE w:val="0"/>
              <w:autoSpaceDN w:val="0"/>
              <w:adjustRightInd w:val="0"/>
              <w:spacing w:before="120" w:after="120"/>
              <w:jc w:val="both"/>
              <w:cnfStyle w:val="000000100000"/>
              <w:rPr>
                <w:lang w:val="en-GB"/>
              </w:rPr>
            </w:pPr>
            <w:r w:rsidRPr="00106E95">
              <w:rPr>
                <w:lang w:val="en-GB"/>
              </w:rPr>
              <w:t>The rate shows the utilization rate of OR not necessa</w:t>
            </w:r>
            <w:r w:rsidR="00712D89" w:rsidRPr="00106E95">
              <w:rPr>
                <w:lang w:val="en-GB"/>
              </w:rPr>
              <w:t xml:space="preserve">rily the OR staff performance. </w:t>
            </w:r>
            <w:r w:rsidRPr="00106E95">
              <w:rPr>
                <w:lang w:val="en-GB"/>
              </w:rPr>
              <w:t>In order to get a clear picture of the staff performance the specif</w:t>
            </w:r>
            <w:r w:rsidR="00712D89" w:rsidRPr="00106E95">
              <w:rPr>
                <w:lang w:val="en-GB"/>
              </w:rPr>
              <w:t>ics of local working protocols have to be considered.</w:t>
            </w:r>
            <w:r w:rsidRPr="00106E95">
              <w:rPr>
                <w:lang w:val="en-GB"/>
              </w:rPr>
              <w:t xml:space="preserve"> (e.g. one staff works in different ORs )</w:t>
            </w:r>
          </w:p>
        </w:tc>
      </w:tr>
      <w:tr w:rsidR="00331034" w:rsidRPr="00106E95" w:rsidTr="00724762">
        <w:tc>
          <w:tcPr>
            <w:cnfStyle w:val="001000000000"/>
            <w:tcW w:w="3085" w:type="dxa"/>
          </w:tcPr>
          <w:p w:rsidR="00331034" w:rsidRPr="00106E95" w:rsidRDefault="00331034" w:rsidP="00106E95">
            <w:pPr>
              <w:spacing w:before="120" w:after="120"/>
              <w:rPr>
                <w:lang w:val="en-GB"/>
              </w:rPr>
            </w:pPr>
            <w:r w:rsidRPr="00106E95">
              <w:rPr>
                <w:lang w:val="en-GB"/>
              </w:rPr>
              <w:t>Codes</w:t>
            </w:r>
            <w:r w:rsidR="00DC451F" w:rsidRPr="00106E95">
              <w:rPr>
                <w:lang w:val="en-GB"/>
              </w:rPr>
              <w:t>/definition</w:t>
            </w:r>
          </w:p>
        </w:tc>
        <w:tc>
          <w:tcPr>
            <w:tcW w:w="6127" w:type="dxa"/>
          </w:tcPr>
          <w:p w:rsidR="0033740B" w:rsidRPr="00106E95" w:rsidRDefault="0033740B" w:rsidP="00106E95">
            <w:pPr>
              <w:spacing w:before="120" w:after="120"/>
              <w:jc w:val="both"/>
              <w:cnfStyle w:val="000000000000"/>
              <w:rPr>
                <w:lang w:val="en-GB"/>
              </w:rPr>
            </w:pPr>
            <w:r w:rsidRPr="00106E95">
              <w:rPr>
                <w:b/>
                <w:lang w:val="en-GB"/>
              </w:rPr>
              <w:t>Operating Theatre</w:t>
            </w:r>
            <w:r w:rsidRPr="00106E95">
              <w:rPr>
                <w:lang w:val="en-GB"/>
              </w:rPr>
              <w:t>:  is the room where surgical procedures are performed under anesthesia</w:t>
            </w:r>
          </w:p>
          <w:p w:rsidR="00DC451F" w:rsidRPr="00106E95" w:rsidRDefault="00FE3509" w:rsidP="00106E95">
            <w:pPr>
              <w:spacing w:before="120" w:after="120"/>
              <w:jc w:val="both"/>
              <w:cnfStyle w:val="000000000000"/>
              <w:rPr>
                <w:lang w:val="en-GB"/>
              </w:rPr>
            </w:pPr>
            <w:r w:rsidRPr="00106E95">
              <w:rPr>
                <w:rFonts w:cs="Arial"/>
                <w:b/>
                <w:bCs/>
                <w:lang w:val="en-GB"/>
              </w:rPr>
              <w:t>Surgery performance</w:t>
            </w:r>
            <w:r w:rsidRPr="00106E95">
              <w:rPr>
                <w:rFonts w:cs="Arial"/>
                <w:bCs/>
                <w:lang w:val="en-GB"/>
              </w:rPr>
              <w:t xml:space="preserve">: </w:t>
            </w:r>
            <w:r w:rsidRPr="00106E95">
              <w:rPr>
                <w:lang w:val="en-GB"/>
              </w:rPr>
              <w:t>Percent of surgery time in operating theatre</w:t>
            </w:r>
          </w:p>
          <w:p w:rsidR="00FE3509" w:rsidRPr="00106E95" w:rsidRDefault="00FE3509" w:rsidP="00106E95">
            <w:pPr>
              <w:spacing w:before="120" w:after="120"/>
              <w:jc w:val="both"/>
              <w:cnfStyle w:val="000000000000"/>
              <w:rPr>
                <w:lang w:val="en-GB"/>
              </w:rPr>
            </w:pPr>
            <w:r w:rsidRPr="00106E95">
              <w:rPr>
                <w:b/>
                <w:lang w:val="en-GB"/>
              </w:rPr>
              <w:t>Overtime</w:t>
            </w:r>
            <w:r w:rsidRPr="00106E95">
              <w:rPr>
                <w:lang w:val="en-GB"/>
              </w:rPr>
              <w:t>: time after the normal</w:t>
            </w:r>
            <w:r w:rsidR="00932643" w:rsidRPr="00106E95">
              <w:rPr>
                <w:lang w:val="en-GB"/>
              </w:rPr>
              <w:t xml:space="preserve"> (indicated)</w:t>
            </w:r>
            <w:r w:rsidRPr="00106E95">
              <w:rPr>
                <w:lang w:val="en-GB"/>
              </w:rPr>
              <w:t xml:space="preserve"> </w:t>
            </w:r>
            <w:r w:rsidR="004D42FF" w:rsidRPr="00106E95">
              <w:rPr>
                <w:lang w:val="en-GB"/>
              </w:rPr>
              <w:t>closing</w:t>
            </w:r>
            <w:r w:rsidRPr="00106E95">
              <w:rPr>
                <w:lang w:val="en-GB"/>
              </w:rPr>
              <w:t xml:space="preserve"> of the OR</w:t>
            </w:r>
          </w:p>
          <w:p w:rsidR="004D42FF" w:rsidRPr="00106E95" w:rsidRDefault="004D42FF" w:rsidP="00106E95">
            <w:pPr>
              <w:spacing w:before="120" w:after="120"/>
              <w:jc w:val="both"/>
              <w:cnfStyle w:val="000000000000"/>
              <w:rPr>
                <w:lang w:val="en-GB"/>
              </w:rPr>
            </w:pPr>
            <w:r w:rsidRPr="00106E95">
              <w:rPr>
                <w:b/>
                <w:lang w:val="en-GB"/>
              </w:rPr>
              <w:t xml:space="preserve">Average time of overtime:  </w:t>
            </w:r>
            <w:r w:rsidRPr="00106E95">
              <w:rPr>
                <w:lang w:val="en-GB"/>
              </w:rPr>
              <w:t xml:space="preserve">sum overtime in minutes in observation period/ </w:t>
            </w:r>
            <w:r w:rsidRPr="00106E95">
              <w:rPr>
                <w:rFonts w:cs="Arial"/>
                <w:lang w:val="en-GB"/>
              </w:rPr>
              <w:t>total number of staffed days during the observation period</w:t>
            </w:r>
          </w:p>
          <w:p w:rsidR="00FE3509" w:rsidRPr="00106E95" w:rsidRDefault="00FE3509" w:rsidP="00106E95">
            <w:pPr>
              <w:autoSpaceDE w:val="0"/>
              <w:autoSpaceDN w:val="0"/>
              <w:adjustRightInd w:val="0"/>
              <w:spacing w:before="120" w:after="120"/>
              <w:jc w:val="both"/>
              <w:cnfStyle w:val="000000000000"/>
              <w:rPr>
                <w:rFonts w:cs="Arial"/>
                <w:lang w:val="en-GB" w:eastAsia="es-ES"/>
              </w:rPr>
            </w:pPr>
            <w:r w:rsidRPr="00106E95">
              <w:rPr>
                <w:rFonts w:cs="Arial"/>
                <w:b/>
                <w:lang w:val="en-GB" w:eastAsia="es-ES"/>
              </w:rPr>
              <w:t>Anaest</w:t>
            </w:r>
            <w:r w:rsidR="00712D89" w:rsidRPr="00106E95">
              <w:rPr>
                <w:rFonts w:cs="Arial"/>
                <w:b/>
                <w:lang w:val="en-GB" w:eastAsia="es-ES"/>
              </w:rPr>
              <w:t>h</w:t>
            </w:r>
            <w:r w:rsidRPr="00106E95">
              <w:rPr>
                <w:rFonts w:cs="Arial"/>
                <w:b/>
                <w:lang w:val="en-GB" w:eastAsia="es-ES"/>
              </w:rPr>
              <w:t>esia start</w:t>
            </w:r>
            <w:r w:rsidRPr="00106E95">
              <w:rPr>
                <w:rFonts w:cs="Arial"/>
                <w:lang w:val="en-GB" w:eastAsia="es-ES"/>
              </w:rPr>
              <w:t>: is measured from when the anaesthetists actually commences doing something relevant to the case, e.g. drawing u</w:t>
            </w:r>
            <w:r w:rsidR="00106E95">
              <w:rPr>
                <w:rFonts w:cs="Arial"/>
                <w:lang w:val="en-GB" w:eastAsia="es-ES"/>
              </w:rPr>
              <w:t>p of drugs, checking machine, e</w:t>
            </w:r>
            <w:r w:rsidRPr="00106E95">
              <w:rPr>
                <w:rFonts w:cs="Arial"/>
                <w:lang w:val="en-GB" w:eastAsia="es-ES"/>
              </w:rPr>
              <w:t>t</w:t>
            </w:r>
            <w:r w:rsidR="00106E95">
              <w:rPr>
                <w:rFonts w:cs="Arial"/>
                <w:lang w:val="en-GB" w:eastAsia="es-ES"/>
              </w:rPr>
              <w:t>c</w:t>
            </w:r>
            <w:r w:rsidRPr="00106E95">
              <w:rPr>
                <w:rFonts w:cs="Arial"/>
                <w:lang w:val="en-GB" w:eastAsia="es-ES"/>
              </w:rPr>
              <w:t>.</w:t>
            </w:r>
          </w:p>
          <w:p w:rsidR="00FE3509" w:rsidRPr="00106E95" w:rsidRDefault="00FE3509" w:rsidP="00106E95">
            <w:pPr>
              <w:autoSpaceDE w:val="0"/>
              <w:autoSpaceDN w:val="0"/>
              <w:adjustRightInd w:val="0"/>
              <w:spacing w:before="120" w:after="120"/>
              <w:jc w:val="both"/>
              <w:cnfStyle w:val="000000000000"/>
              <w:rPr>
                <w:rFonts w:cs="Arial"/>
                <w:lang w:val="en-GB" w:eastAsia="es-ES"/>
              </w:rPr>
            </w:pPr>
            <w:r w:rsidRPr="00106E95">
              <w:rPr>
                <w:rFonts w:cs="Arial"/>
                <w:b/>
                <w:lang w:val="en-GB" w:eastAsia="es-ES"/>
              </w:rPr>
              <w:t>Surgery start</w:t>
            </w:r>
            <w:r w:rsidRPr="00106E95">
              <w:rPr>
                <w:rFonts w:cs="Arial"/>
                <w:lang w:val="en-GB" w:eastAsia="es-ES"/>
              </w:rPr>
              <w:t>: is measured from when skin preparation begins or when specialised positioning of the patient begins, whichever occurs first.</w:t>
            </w:r>
          </w:p>
          <w:p w:rsidR="00FE3509" w:rsidRPr="00106E95" w:rsidRDefault="00FE3509" w:rsidP="00106E95">
            <w:pPr>
              <w:autoSpaceDE w:val="0"/>
              <w:autoSpaceDN w:val="0"/>
              <w:adjustRightInd w:val="0"/>
              <w:spacing w:before="120" w:after="120"/>
              <w:jc w:val="both"/>
              <w:cnfStyle w:val="000000000000"/>
              <w:rPr>
                <w:rFonts w:cs="Arial"/>
                <w:lang w:val="en-GB" w:eastAsia="es-ES"/>
              </w:rPr>
            </w:pPr>
            <w:r w:rsidRPr="00106E95">
              <w:rPr>
                <w:rFonts w:cs="Arial"/>
                <w:b/>
                <w:lang w:val="en-GB" w:eastAsia="es-ES"/>
              </w:rPr>
              <w:t>Surgery finish:</w:t>
            </w:r>
            <w:r w:rsidRPr="00106E95">
              <w:rPr>
                <w:rFonts w:cs="Arial"/>
                <w:lang w:val="en-GB" w:eastAsia="es-ES"/>
              </w:rPr>
              <w:t xml:space="preserve"> surgery is considered ended when the dressings are applied</w:t>
            </w:r>
          </w:p>
        </w:tc>
      </w:tr>
    </w:tbl>
    <w:p w:rsidR="00AF0D49" w:rsidRPr="00712D89" w:rsidRDefault="00AF0D49" w:rsidP="001A72B8">
      <w:pPr>
        <w:rPr>
          <w:rFonts w:asciiTheme="majorHAnsi" w:hAnsiTheme="majorHAnsi"/>
          <w:lang w:val="en-GB"/>
        </w:rPr>
      </w:pPr>
    </w:p>
    <w:sectPr w:rsidR="00AF0D49" w:rsidRPr="00712D89" w:rsidSect="00C86E5B">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A21" w:rsidRDefault="00950A21" w:rsidP="00AF0D49">
      <w:pPr>
        <w:spacing w:after="0" w:line="240" w:lineRule="auto"/>
      </w:pPr>
      <w:r>
        <w:separator/>
      </w:r>
    </w:p>
  </w:endnote>
  <w:endnote w:type="continuationSeparator" w:id="0">
    <w:p w:rsidR="00950A21" w:rsidRDefault="00950A21" w:rsidP="00AF0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628395"/>
      <w:docPartObj>
        <w:docPartGallery w:val="Page Numbers (Bottom of Page)"/>
        <w:docPartUnique/>
      </w:docPartObj>
    </w:sdtPr>
    <w:sdtContent>
      <w:sdt>
        <w:sdtPr>
          <w:id w:val="98381352"/>
          <w:docPartObj>
            <w:docPartGallery w:val="Page Numbers (Top of Page)"/>
            <w:docPartUnique/>
          </w:docPartObj>
        </w:sdtPr>
        <w:sdtContent>
          <w:p w:rsidR="00F435BD" w:rsidRDefault="00C968D8">
            <w:pPr>
              <w:pStyle w:val="llb"/>
            </w:pPr>
            <w:r>
              <w:rPr>
                <w:b/>
                <w:sz w:val="24"/>
                <w:szCs w:val="24"/>
              </w:rPr>
              <w:fldChar w:fldCharType="begin"/>
            </w:r>
            <w:r w:rsidR="00F435BD">
              <w:rPr>
                <w:b/>
              </w:rPr>
              <w:instrText>PAGE</w:instrText>
            </w:r>
            <w:r>
              <w:rPr>
                <w:b/>
                <w:sz w:val="24"/>
                <w:szCs w:val="24"/>
              </w:rPr>
              <w:fldChar w:fldCharType="separate"/>
            </w:r>
            <w:r w:rsidR="00106E95">
              <w:rPr>
                <w:b/>
                <w:noProof/>
              </w:rPr>
              <w:t>2</w:t>
            </w:r>
            <w:r>
              <w:rPr>
                <w:b/>
                <w:sz w:val="24"/>
                <w:szCs w:val="24"/>
              </w:rPr>
              <w:fldChar w:fldCharType="end"/>
            </w:r>
            <w:r w:rsidR="00F435BD">
              <w:t xml:space="preserve"> / </w:t>
            </w:r>
            <w:r>
              <w:rPr>
                <w:b/>
                <w:sz w:val="24"/>
                <w:szCs w:val="24"/>
              </w:rPr>
              <w:fldChar w:fldCharType="begin"/>
            </w:r>
            <w:r w:rsidR="00F435BD">
              <w:rPr>
                <w:b/>
              </w:rPr>
              <w:instrText>NUMPAGES</w:instrText>
            </w:r>
            <w:r>
              <w:rPr>
                <w:b/>
                <w:sz w:val="24"/>
                <w:szCs w:val="24"/>
              </w:rPr>
              <w:fldChar w:fldCharType="separate"/>
            </w:r>
            <w:r w:rsidR="00106E95">
              <w:rPr>
                <w:b/>
                <w:noProof/>
              </w:rPr>
              <w:t>2</w:t>
            </w:r>
            <w:r>
              <w:rPr>
                <w:b/>
                <w:sz w:val="24"/>
                <w:szCs w:val="24"/>
              </w:rPr>
              <w:fldChar w:fldCharType="end"/>
            </w:r>
          </w:p>
        </w:sdtContent>
      </w:sdt>
    </w:sdtContent>
  </w:sdt>
  <w:p w:rsidR="00F435BD" w:rsidRDefault="00F435BD">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A21" w:rsidRDefault="00950A21" w:rsidP="00AF0D49">
      <w:pPr>
        <w:spacing w:after="0" w:line="240" w:lineRule="auto"/>
      </w:pPr>
      <w:r>
        <w:separator/>
      </w:r>
    </w:p>
  </w:footnote>
  <w:footnote w:type="continuationSeparator" w:id="0">
    <w:p w:rsidR="00950A21" w:rsidRDefault="00950A21" w:rsidP="00AF0D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0626"/>
    <w:multiLevelType w:val="hybridMultilevel"/>
    <w:tmpl w:val="AC40B9E0"/>
    <w:lvl w:ilvl="0" w:tplc="268AFD36">
      <w:start w:val="60"/>
      <w:numFmt w:val="bullet"/>
      <w:lvlText w:val="-"/>
      <w:lvlJc w:val="left"/>
      <w:pPr>
        <w:ind w:left="720" w:hanging="360"/>
      </w:pPr>
      <w:rPr>
        <w:rFonts w:ascii="Cambria" w:eastAsiaTheme="minorHAnsi"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1811B15"/>
    <w:multiLevelType w:val="hybridMultilevel"/>
    <w:tmpl w:val="C4928E0C"/>
    <w:lvl w:ilvl="0" w:tplc="A90261A8">
      <w:start w:val="60"/>
      <w:numFmt w:val="bullet"/>
      <w:lvlText w:val="-"/>
      <w:lvlJc w:val="left"/>
      <w:pPr>
        <w:ind w:left="720" w:hanging="360"/>
      </w:pPr>
      <w:rPr>
        <w:rFonts w:ascii="Cambria" w:eastAsiaTheme="minorHAnsi" w:hAnsi="Cambria" w:cs="Century Gothic"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40EB4671"/>
    <w:multiLevelType w:val="hybridMultilevel"/>
    <w:tmpl w:val="8B1071F8"/>
    <w:lvl w:ilvl="0" w:tplc="A13A99B0">
      <w:start w:val="14"/>
      <w:numFmt w:val="bullet"/>
      <w:lvlText w:val="-"/>
      <w:lvlJc w:val="left"/>
      <w:pPr>
        <w:ind w:left="720" w:hanging="360"/>
      </w:pPr>
      <w:rPr>
        <w:rFonts w:ascii="Cambria" w:eastAsiaTheme="minorHAnsi"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93D5B4D"/>
    <w:multiLevelType w:val="hybridMultilevel"/>
    <w:tmpl w:val="7BFA9642"/>
    <w:lvl w:ilvl="0" w:tplc="B0180C18">
      <w:start w:val="5"/>
      <w:numFmt w:val="bullet"/>
      <w:lvlText w:val="-"/>
      <w:lvlJc w:val="left"/>
      <w:pPr>
        <w:tabs>
          <w:tab w:val="num" w:pos="720"/>
        </w:tabs>
        <w:ind w:left="720" w:hanging="360"/>
      </w:pPr>
      <w:rPr>
        <w:rFonts w:ascii="Arial" w:eastAsia="Times New Roman" w:hAnsi="Arial" w:cs="Aria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
    <w:nsid w:val="77FB3A31"/>
    <w:multiLevelType w:val="hybridMultilevel"/>
    <w:tmpl w:val="699E5542"/>
    <w:lvl w:ilvl="0" w:tplc="5FC0CE40">
      <w:start w:val="1"/>
      <w:numFmt w:val="bullet"/>
      <w:lvlText w:val="-"/>
      <w:lvlJc w:val="left"/>
      <w:pPr>
        <w:tabs>
          <w:tab w:val="num" w:pos="720"/>
        </w:tabs>
        <w:ind w:left="720" w:hanging="360"/>
      </w:pPr>
      <w:rPr>
        <w:rFonts w:ascii="Times New Roman" w:hAnsi="Times New Roman" w:cs="Times New Roman" w:hint="default"/>
      </w:rPr>
    </w:lvl>
    <w:lvl w:ilvl="1" w:tplc="04150003" w:tentative="1">
      <w:start w:val="1"/>
      <w:numFmt w:val="bullet"/>
      <w:lvlText w:val="o"/>
      <w:lvlJc w:val="left"/>
      <w:pPr>
        <w:tabs>
          <w:tab w:val="num" w:pos="912"/>
        </w:tabs>
        <w:ind w:left="912" w:hanging="360"/>
      </w:pPr>
      <w:rPr>
        <w:rFonts w:ascii="Courier New" w:hAnsi="Courier New" w:cs="Courier New" w:hint="default"/>
      </w:rPr>
    </w:lvl>
    <w:lvl w:ilvl="2" w:tplc="04150005" w:tentative="1">
      <w:start w:val="1"/>
      <w:numFmt w:val="bullet"/>
      <w:lvlText w:val=""/>
      <w:lvlJc w:val="left"/>
      <w:pPr>
        <w:tabs>
          <w:tab w:val="num" w:pos="1632"/>
        </w:tabs>
        <w:ind w:left="1632" w:hanging="360"/>
      </w:pPr>
      <w:rPr>
        <w:rFonts w:ascii="Wingdings" w:hAnsi="Wingdings" w:hint="default"/>
      </w:rPr>
    </w:lvl>
    <w:lvl w:ilvl="3" w:tplc="04150001" w:tentative="1">
      <w:start w:val="1"/>
      <w:numFmt w:val="bullet"/>
      <w:lvlText w:val=""/>
      <w:lvlJc w:val="left"/>
      <w:pPr>
        <w:tabs>
          <w:tab w:val="num" w:pos="2352"/>
        </w:tabs>
        <w:ind w:left="2352" w:hanging="360"/>
      </w:pPr>
      <w:rPr>
        <w:rFonts w:ascii="Symbol" w:hAnsi="Symbol" w:hint="default"/>
      </w:rPr>
    </w:lvl>
    <w:lvl w:ilvl="4" w:tplc="04150003" w:tentative="1">
      <w:start w:val="1"/>
      <w:numFmt w:val="bullet"/>
      <w:lvlText w:val="o"/>
      <w:lvlJc w:val="left"/>
      <w:pPr>
        <w:tabs>
          <w:tab w:val="num" w:pos="3072"/>
        </w:tabs>
        <w:ind w:left="3072" w:hanging="360"/>
      </w:pPr>
      <w:rPr>
        <w:rFonts w:ascii="Courier New" w:hAnsi="Courier New" w:cs="Courier New" w:hint="default"/>
      </w:rPr>
    </w:lvl>
    <w:lvl w:ilvl="5" w:tplc="04150005" w:tentative="1">
      <w:start w:val="1"/>
      <w:numFmt w:val="bullet"/>
      <w:lvlText w:val=""/>
      <w:lvlJc w:val="left"/>
      <w:pPr>
        <w:tabs>
          <w:tab w:val="num" w:pos="3792"/>
        </w:tabs>
        <w:ind w:left="3792" w:hanging="360"/>
      </w:pPr>
      <w:rPr>
        <w:rFonts w:ascii="Wingdings" w:hAnsi="Wingdings" w:hint="default"/>
      </w:rPr>
    </w:lvl>
    <w:lvl w:ilvl="6" w:tplc="04150001" w:tentative="1">
      <w:start w:val="1"/>
      <w:numFmt w:val="bullet"/>
      <w:lvlText w:val=""/>
      <w:lvlJc w:val="left"/>
      <w:pPr>
        <w:tabs>
          <w:tab w:val="num" w:pos="4512"/>
        </w:tabs>
        <w:ind w:left="4512" w:hanging="360"/>
      </w:pPr>
      <w:rPr>
        <w:rFonts w:ascii="Symbol" w:hAnsi="Symbol" w:hint="default"/>
      </w:rPr>
    </w:lvl>
    <w:lvl w:ilvl="7" w:tplc="04150003" w:tentative="1">
      <w:start w:val="1"/>
      <w:numFmt w:val="bullet"/>
      <w:lvlText w:val="o"/>
      <w:lvlJc w:val="left"/>
      <w:pPr>
        <w:tabs>
          <w:tab w:val="num" w:pos="5232"/>
        </w:tabs>
        <w:ind w:left="5232" w:hanging="360"/>
      </w:pPr>
      <w:rPr>
        <w:rFonts w:ascii="Courier New" w:hAnsi="Courier New" w:cs="Courier New" w:hint="default"/>
      </w:rPr>
    </w:lvl>
    <w:lvl w:ilvl="8" w:tplc="04150005" w:tentative="1">
      <w:start w:val="1"/>
      <w:numFmt w:val="bullet"/>
      <w:lvlText w:val=""/>
      <w:lvlJc w:val="left"/>
      <w:pPr>
        <w:tabs>
          <w:tab w:val="num" w:pos="5952"/>
        </w:tabs>
        <w:ind w:left="5952"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F0D49"/>
    <w:rsid w:val="0003425B"/>
    <w:rsid w:val="0008433C"/>
    <w:rsid w:val="000A25E2"/>
    <w:rsid w:val="000F239B"/>
    <w:rsid w:val="00106E95"/>
    <w:rsid w:val="001A72B8"/>
    <w:rsid w:val="001B06CA"/>
    <w:rsid w:val="001E3609"/>
    <w:rsid w:val="001E456C"/>
    <w:rsid w:val="00331034"/>
    <w:rsid w:val="0033740B"/>
    <w:rsid w:val="0036564F"/>
    <w:rsid w:val="003E5463"/>
    <w:rsid w:val="0043441A"/>
    <w:rsid w:val="00457CFD"/>
    <w:rsid w:val="004D42FF"/>
    <w:rsid w:val="004E3117"/>
    <w:rsid w:val="00511958"/>
    <w:rsid w:val="005228D5"/>
    <w:rsid w:val="005805DA"/>
    <w:rsid w:val="00596AF5"/>
    <w:rsid w:val="005D394B"/>
    <w:rsid w:val="00637C23"/>
    <w:rsid w:val="00682BEA"/>
    <w:rsid w:val="006870DE"/>
    <w:rsid w:val="006E397D"/>
    <w:rsid w:val="00712D89"/>
    <w:rsid w:val="00724762"/>
    <w:rsid w:val="007366EF"/>
    <w:rsid w:val="007D2FBA"/>
    <w:rsid w:val="00862E68"/>
    <w:rsid w:val="008F237E"/>
    <w:rsid w:val="00932643"/>
    <w:rsid w:val="00944C98"/>
    <w:rsid w:val="00950A21"/>
    <w:rsid w:val="00986C88"/>
    <w:rsid w:val="00996456"/>
    <w:rsid w:val="00A246FD"/>
    <w:rsid w:val="00A9723D"/>
    <w:rsid w:val="00AA239F"/>
    <w:rsid w:val="00AF0D49"/>
    <w:rsid w:val="00B232B5"/>
    <w:rsid w:val="00B30D1D"/>
    <w:rsid w:val="00B34FC4"/>
    <w:rsid w:val="00B37C02"/>
    <w:rsid w:val="00BC6EF9"/>
    <w:rsid w:val="00C22F6E"/>
    <w:rsid w:val="00C86E5B"/>
    <w:rsid w:val="00C968D8"/>
    <w:rsid w:val="00D2504E"/>
    <w:rsid w:val="00D50719"/>
    <w:rsid w:val="00DC451F"/>
    <w:rsid w:val="00E21C5A"/>
    <w:rsid w:val="00E304C3"/>
    <w:rsid w:val="00E45A50"/>
    <w:rsid w:val="00E6069E"/>
    <w:rsid w:val="00E940DD"/>
    <w:rsid w:val="00EE1016"/>
    <w:rsid w:val="00F32BEA"/>
    <w:rsid w:val="00F435BD"/>
    <w:rsid w:val="00F57669"/>
    <w:rsid w:val="00F70CE1"/>
    <w:rsid w:val="00F76DB2"/>
    <w:rsid w:val="00FA079F"/>
    <w:rsid w:val="00FC0129"/>
    <w:rsid w:val="00FD42B6"/>
    <w:rsid w:val="00FE2D68"/>
    <w:rsid w:val="00FE3509"/>
    <w:rsid w:val="00FF146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86E5B"/>
  </w:style>
  <w:style w:type="paragraph" w:styleId="Cmsor1">
    <w:name w:val="heading 1"/>
    <w:basedOn w:val="Norml"/>
    <w:next w:val="Norml"/>
    <w:link w:val="Cmsor1Char"/>
    <w:uiPriority w:val="9"/>
    <w:qFormat/>
    <w:rsid w:val="00AF0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76D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sthead">
    <w:name w:val="Masthead"/>
    <w:basedOn w:val="Norml"/>
    <w:rsid w:val="00AF0D49"/>
    <w:pPr>
      <w:spacing w:after="0" w:line="240" w:lineRule="auto"/>
      <w:ind w:left="144"/>
    </w:pPr>
    <w:rPr>
      <w:rFonts w:ascii="Century Gothic" w:eastAsia="Times New Roman" w:hAnsi="Century Gothic" w:cs="Century Gothic"/>
      <w:color w:val="FFFFFF"/>
      <w:sz w:val="96"/>
      <w:szCs w:val="96"/>
      <w:lang w:val="pl-PL" w:eastAsia="pl-PL" w:bidi="pl-PL"/>
    </w:rPr>
  </w:style>
  <w:style w:type="paragraph" w:styleId="lfej">
    <w:name w:val="header"/>
    <w:basedOn w:val="Norml"/>
    <w:link w:val="lfejChar"/>
    <w:uiPriority w:val="99"/>
    <w:semiHidden/>
    <w:unhideWhenUsed/>
    <w:rsid w:val="00AF0D49"/>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AF0D49"/>
  </w:style>
  <w:style w:type="paragraph" w:styleId="llb">
    <w:name w:val="footer"/>
    <w:basedOn w:val="Norml"/>
    <w:link w:val="llbChar"/>
    <w:uiPriority w:val="99"/>
    <w:unhideWhenUsed/>
    <w:rsid w:val="00AF0D49"/>
    <w:pPr>
      <w:tabs>
        <w:tab w:val="center" w:pos="4536"/>
        <w:tab w:val="right" w:pos="9072"/>
      </w:tabs>
      <w:spacing w:after="0" w:line="240" w:lineRule="auto"/>
    </w:pPr>
  </w:style>
  <w:style w:type="character" w:customStyle="1" w:styleId="llbChar">
    <w:name w:val="Élőláb Char"/>
    <w:basedOn w:val="Bekezdsalapbettpusa"/>
    <w:link w:val="llb"/>
    <w:uiPriority w:val="99"/>
    <w:rsid w:val="00AF0D49"/>
  </w:style>
  <w:style w:type="paragraph" w:styleId="Buborkszveg">
    <w:name w:val="Balloon Text"/>
    <w:basedOn w:val="Norml"/>
    <w:link w:val="BuborkszvegChar"/>
    <w:uiPriority w:val="99"/>
    <w:semiHidden/>
    <w:unhideWhenUsed/>
    <w:rsid w:val="00AF0D4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F0D49"/>
    <w:rPr>
      <w:rFonts w:ascii="Tahoma" w:hAnsi="Tahoma" w:cs="Tahoma"/>
      <w:sz w:val="16"/>
      <w:szCs w:val="16"/>
    </w:rPr>
  </w:style>
  <w:style w:type="character" w:customStyle="1" w:styleId="Cmsor1Char">
    <w:name w:val="Címsor 1 Char"/>
    <w:basedOn w:val="Bekezdsalapbettpusa"/>
    <w:link w:val="Cmsor1"/>
    <w:uiPriority w:val="9"/>
    <w:rsid w:val="00AF0D49"/>
    <w:rPr>
      <w:rFonts w:asciiTheme="majorHAnsi" w:eastAsiaTheme="majorEastAsia" w:hAnsiTheme="majorHAnsi" w:cstheme="majorBidi"/>
      <w:b/>
      <w:bCs/>
      <w:color w:val="365F91" w:themeColor="accent1" w:themeShade="BF"/>
      <w:sz w:val="28"/>
      <w:szCs w:val="28"/>
    </w:rPr>
  </w:style>
  <w:style w:type="table" w:styleId="Rcsostblzat">
    <w:name w:val="Table Grid"/>
    <w:basedOn w:val="Normltblzat"/>
    <w:uiPriority w:val="59"/>
    <w:rsid w:val="00AF0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Vilgoslista1jellszn1">
    <w:name w:val="Világos lista – 1. jelölőszín1"/>
    <w:basedOn w:val="Normltblzat"/>
    <w:uiPriority w:val="61"/>
    <w:rsid w:val="0072476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Kzepesrnykols21jellszn1">
    <w:name w:val="Közepes árnyékolás 2 – 1. jelölőszín1"/>
    <w:basedOn w:val="Normltblzat"/>
    <w:uiPriority w:val="64"/>
    <w:rsid w:val="007247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aszerbekezds">
    <w:name w:val="List Paragraph"/>
    <w:basedOn w:val="Norml"/>
    <w:uiPriority w:val="34"/>
    <w:qFormat/>
    <w:rsid w:val="00A9723D"/>
    <w:pPr>
      <w:ind w:left="720"/>
      <w:contextualSpacing/>
    </w:pPr>
  </w:style>
  <w:style w:type="character" w:customStyle="1" w:styleId="Cmsor2Char">
    <w:name w:val="Címsor 2 Char"/>
    <w:basedOn w:val="Bekezdsalapbettpusa"/>
    <w:link w:val="Cmsor2"/>
    <w:uiPriority w:val="9"/>
    <w:rsid w:val="00F76DB2"/>
    <w:rPr>
      <w:rFonts w:asciiTheme="majorHAnsi" w:eastAsiaTheme="majorEastAsia" w:hAnsiTheme="majorHAnsi" w:cstheme="majorBidi"/>
      <w:b/>
      <w:bCs/>
      <w:color w:val="4F81BD" w:themeColor="accent1"/>
      <w:sz w:val="26"/>
      <w:szCs w:val="26"/>
    </w:rPr>
  </w:style>
  <w:style w:type="character" w:customStyle="1" w:styleId="SzvegtrzsChar">
    <w:name w:val="Szövegtörzs Char"/>
    <w:basedOn w:val="Bekezdsalapbettpusa"/>
    <w:link w:val="Szvegtrzs"/>
    <w:locked/>
    <w:rsid w:val="00FE3509"/>
    <w:rPr>
      <w:rFonts w:ascii="Century Gothic" w:hAnsi="Century Gothic" w:cs="Century Gothic"/>
      <w:sz w:val="17"/>
      <w:lang w:val="pl-PL" w:eastAsia="pl-PL" w:bidi="pl-PL"/>
    </w:rPr>
  </w:style>
  <w:style w:type="paragraph" w:styleId="Szvegtrzs">
    <w:name w:val="Body Text"/>
    <w:basedOn w:val="Norml"/>
    <w:link w:val="SzvegtrzsChar"/>
    <w:rsid w:val="00FE3509"/>
    <w:pPr>
      <w:tabs>
        <w:tab w:val="left" w:pos="3326"/>
      </w:tabs>
      <w:spacing w:after="120" w:line="260" w:lineRule="atLeast"/>
      <w:jc w:val="both"/>
    </w:pPr>
    <w:rPr>
      <w:rFonts w:ascii="Century Gothic" w:hAnsi="Century Gothic" w:cs="Century Gothic"/>
      <w:sz w:val="17"/>
      <w:lang w:val="pl-PL" w:eastAsia="pl-PL" w:bidi="pl-PL"/>
    </w:rPr>
  </w:style>
  <w:style w:type="character" w:customStyle="1" w:styleId="SzvegtrzsChar1">
    <w:name w:val="Szövegtörzs Char1"/>
    <w:basedOn w:val="Bekezdsalapbettpusa"/>
    <w:link w:val="Szvegtrzs"/>
    <w:uiPriority w:val="99"/>
    <w:semiHidden/>
    <w:rsid w:val="00FE350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320</Words>
  <Characters>2214</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SE</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Judit</dc:creator>
  <cp:lastModifiedBy>Surján Cecília</cp:lastModifiedBy>
  <cp:revision>5</cp:revision>
  <dcterms:created xsi:type="dcterms:W3CDTF">2012-11-23T10:32:00Z</dcterms:created>
  <dcterms:modified xsi:type="dcterms:W3CDTF">2012-11-29T12:01:00Z</dcterms:modified>
</cp:coreProperties>
</file>