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EC17DB" w:rsidRDefault="00AF0D49" w:rsidP="00AF0D49">
      <w:pPr>
        <w:jc w:val="center"/>
        <w:rPr>
          <w:rFonts w:cs="Times New Roman"/>
        </w:rPr>
      </w:pPr>
      <w:r w:rsidRPr="00EC17DB">
        <w:rPr>
          <w:rFonts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EC17DB" w:rsidRDefault="00EC17DB" w:rsidP="00EC17DB">
      <w:pPr>
        <w:pStyle w:val="Cmsor1"/>
        <w:jc w:val="center"/>
      </w:pPr>
      <w:r>
        <w:t xml:space="preserve">C2.4 </w:t>
      </w:r>
      <w:proofErr w:type="spellStart"/>
      <w:r w:rsidR="004367C6" w:rsidRPr="00EC17DB">
        <w:t>Profilaktikus</w:t>
      </w:r>
      <w:proofErr w:type="spellEnd"/>
      <w:r w:rsidR="004367C6" w:rsidRPr="00EC17DB">
        <w:rPr>
          <w:rFonts w:eastAsia="Times New Roman"/>
        </w:rPr>
        <w:t xml:space="preserve"> antibiotikum alkalmazás</w:t>
      </w:r>
      <w:r w:rsidR="004367C6" w:rsidRPr="00EC17DB">
        <w:t xml:space="preserve"> – tervezett </w:t>
      </w:r>
      <w:r w:rsidR="009A0D8C" w:rsidRPr="00EC17DB">
        <w:t>méheltávolítás</w:t>
      </w:r>
    </w:p>
    <w:p w:rsidR="00AF0D49" w:rsidRPr="00EC17DB" w:rsidRDefault="00AF0D49" w:rsidP="00AF0D49">
      <w:pPr>
        <w:rPr>
          <w:rFonts w:cs="Times New Roman"/>
        </w:rPr>
      </w:pPr>
    </w:p>
    <w:tbl>
      <w:tblPr>
        <w:tblStyle w:val="Kzepesrnykols21jellszn1"/>
        <w:tblW w:w="10206" w:type="dxa"/>
        <w:tblInd w:w="-459" w:type="dxa"/>
        <w:tblLook w:val="04A0"/>
      </w:tblPr>
      <w:tblGrid>
        <w:gridCol w:w="3544"/>
        <w:gridCol w:w="6662"/>
      </w:tblGrid>
      <w:tr w:rsidR="00AF0D49" w:rsidRPr="00EC17DB" w:rsidTr="00A255AE">
        <w:trPr>
          <w:cnfStyle w:val="100000000000"/>
        </w:trPr>
        <w:tc>
          <w:tcPr>
            <w:cnfStyle w:val="001000000100"/>
            <w:tcW w:w="3544" w:type="dxa"/>
          </w:tcPr>
          <w:p w:rsidR="00AF0D49" w:rsidRPr="00EC17DB" w:rsidRDefault="004367C6" w:rsidP="00EC17DB">
            <w:pPr>
              <w:spacing w:before="120" w:after="120"/>
              <w:rPr>
                <w:rFonts w:cs="Times New Roman"/>
                <w:lang w:val="en-GB"/>
              </w:rPr>
            </w:pPr>
            <w:r w:rsidRPr="00EC17DB">
              <w:rPr>
                <w:rFonts w:cs="Times New Roman"/>
              </w:rPr>
              <w:t>Rövid név</w:t>
            </w:r>
          </w:p>
        </w:tc>
        <w:tc>
          <w:tcPr>
            <w:tcW w:w="6662" w:type="dxa"/>
          </w:tcPr>
          <w:p w:rsidR="00AF0D49" w:rsidRPr="00EC17DB" w:rsidRDefault="004367C6" w:rsidP="00EC17DB">
            <w:pPr>
              <w:spacing w:before="120" w:after="120"/>
              <w:jc w:val="both"/>
              <w:cnfStyle w:val="10000000000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eastAsia="Calibri" w:cs="Times New Roman"/>
                <w:color w:val="FFFFFF"/>
              </w:rPr>
              <w:t>Profilaktikus</w:t>
            </w:r>
            <w:proofErr w:type="spellEnd"/>
            <w:r w:rsidRPr="00EC17DB">
              <w:rPr>
                <w:rFonts w:eastAsia="Calibri" w:cs="Times New Roman"/>
                <w:color w:val="FFFFFF"/>
              </w:rPr>
              <w:t xml:space="preserve"> antibiotikum alkalmazás</w:t>
            </w:r>
          </w:p>
        </w:tc>
      </w:tr>
      <w:tr w:rsidR="00AF0D49" w:rsidRPr="00EC17D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EC17DB" w:rsidRDefault="004367C6" w:rsidP="00EC17D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Részletes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név</w:t>
            </w:r>
            <w:proofErr w:type="spellEnd"/>
          </w:p>
        </w:tc>
        <w:tc>
          <w:tcPr>
            <w:tcW w:w="6662" w:type="dxa"/>
          </w:tcPr>
          <w:p w:rsidR="004367C6" w:rsidRPr="00EC17DB" w:rsidRDefault="004367C6" w:rsidP="00EC17DB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EC17DB">
              <w:rPr>
                <w:rFonts w:eastAsia="Calibri" w:cs="Arial"/>
              </w:rPr>
              <w:t xml:space="preserve">A </w:t>
            </w:r>
            <w:proofErr w:type="spellStart"/>
            <w:r w:rsidRPr="00EC17DB">
              <w:rPr>
                <w:rFonts w:eastAsia="Calibri" w:cs="Arial"/>
              </w:rPr>
              <w:t>profilaktikus</w:t>
            </w:r>
            <w:proofErr w:type="spellEnd"/>
            <w:r w:rsidRPr="00EC17DB">
              <w:rPr>
                <w:rFonts w:eastAsia="Calibri" w:cs="Arial"/>
              </w:rPr>
              <w:t xml:space="preserve"> antibiotikum alkalmazási irányelveknek való megfelelés </w:t>
            </w:r>
            <w:r w:rsidR="009A0D8C" w:rsidRPr="00EC17DB">
              <w:rPr>
                <w:rFonts w:cs="Arial"/>
              </w:rPr>
              <w:t>tervezett méheltávolítás</w:t>
            </w:r>
            <w:r w:rsidRPr="00EC17DB">
              <w:rPr>
                <w:rFonts w:cs="Arial"/>
              </w:rPr>
              <w:t xml:space="preserve"> esetén</w:t>
            </w:r>
          </w:p>
        </w:tc>
      </w:tr>
      <w:tr w:rsidR="00AF0D49" w:rsidRPr="00EC17DB" w:rsidTr="00A255AE">
        <w:tc>
          <w:tcPr>
            <w:cnfStyle w:val="001000000000"/>
            <w:tcW w:w="3544" w:type="dxa"/>
          </w:tcPr>
          <w:p w:rsidR="00AF0D49" w:rsidRPr="00EC17DB" w:rsidRDefault="004367C6" w:rsidP="00EC17D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Rövid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definíció</w:t>
            </w:r>
            <w:proofErr w:type="spellEnd"/>
          </w:p>
        </w:tc>
        <w:tc>
          <w:tcPr>
            <w:tcW w:w="6662" w:type="dxa"/>
          </w:tcPr>
          <w:p w:rsidR="004367C6" w:rsidRPr="00EC17DB" w:rsidRDefault="004367C6" w:rsidP="00EC17DB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EC17DB">
              <w:rPr>
                <w:rFonts w:eastAsia="Calibri" w:cs="Arial"/>
                <w:color w:val="000000"/>
              </w:rPr>
              <w:t xml:space="preserve">Azon pácienseknek a százaléka, akik az irányelvnek teljesen megfelelően kapták a </w:t>
            </w:r>
            <w:proofErr w:type="spellStart"/>
            <w:r w:rsidRPr="00EC17DB">
              <w:rPr>
                <w:rFonts w:eastAsia="Calibri" w:cs="Arial"/>
                <w:color w:val="000000"/>
              </w:rPr>
              <w:t>profilaktikus</w:t>
            </w:r>
            <w:proofErr w:type="spellEnd"/>
            <w:r w:rsidRPr="00EC17DB">
              <w:rPr>
                <w:rFonts w:eastAsia="Calibri" w:cs="Arial"/>
                <w:color w:val="000000"/>
              </w:rPr>
              <w:t xml:space="preserve"> </w:t>
            </w:r>
            <w:r w:rsidR="009A0D8C" w:rsidRPr="00EC17DB">
              <w:rPr>
                <w:rFonts w:eastAsia="Calibri" w:cs="Arial"/>
              </w:rPr>
              <w:t>antibiotikumot</w:t>
            </w:r>
            <w:r w:rsidRPr="00EC17DB">
              <w:rPr>
                <w:rFonts w:eastAsia="Calibri" w:cs="Arial"/>
              </w:rPr>
              <w:t xml:space="preserve"> tervezett</w:t>
            </w:r>
            <w:r w:rsidR="009A0D8C" w:rsidRPr="00EC17DB">
              <w:rPr>
                <w:rFonts w:eastAsia="Calibri" w:cs="Arial"/>
              </w:rPr>
              <w:t xml:space="preserve"> méheltávolítás</w:t>
            </w:r>
            <w:r w:rsidRPr="00EC17DB">
              <w:rPr>
                <w:rFonts w:eastAsia="Calibri" w:cs="Arial"/>
              </w:rPr>
              <w:t xml:space="preserve"> </w:t>
            </w:r>
            <w:r w:rsidRPr="00EC17DB">
              <w:rPr>
                <w:rFonts w:cs="Arial"/>
              </w:rPr>
              <w:t>esetén</w:t>
            </w:r>
          </w:p>
        </w:tc>
      </w:tr>
      <w:tr w:rsidR="00AF0D49" w:rsidRPr="00EC17D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EC17DB" w:rsidRDefault="004367C6" w:rsidP="00EC17D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Indikátor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típusa</w:t>
            </w:r>
            <w:proofErr w:type="spellEnd"/>
          </w:p>
        </w:tc>
        <w:tc>
          <w:tcPr>
            <w:tcW w:w="6662" w:type="dxa"/>
          </w:tcPr>
          <w:p w:rsidR="00AF0D49" w:rsidRPr="00EC17DB" w:rsidRDefault="004367C6" w:rsidP="00EC17DB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EC17DB">
              <w:rPr>
                <w:rFonts w:eastAsia="Calibri" w:cs="Arial"/>
                <w:color w:val="000000"/>
              </w:rPr>
              <w:t>Folyamatindikátor</w:t>
            </w:r>
          </w:p>
        </w:tc>
      </w:tr>
      <w:tr w:rsidR="00331034" w:rsidRPr="00EC17DB" w:rsidTr="00A255AE">
        <w:tc>
          <w:tcPr>
            <w:cnfStyle w:val="001000000000"/>
            <w:tcW w:w="3544" w:type="dxa"/>
          </w:tcPr>
          <w:p w:rsidR="00331034" w:rsidRPr="00EC17DB" w:rsidRDefault="004367C6" w:rsidP="00EC17DB">
            <w:pPr>
              <w:spacing w:before="120" w:after="120"/>
              <w:rPr>
                <w:rFonts w:cs="Times New Roman"/>
                <w:iCs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Terület</w:t>
            </w:r>
            <w:proofErr w:type="spellEnd"/>
          </w:p>
        </w:tc>
        <w:tc>
          <w:tcPr>
            <w:tcW w:w="6662" w:type="dxa"/>
          </w:tcPr>
          <w:p w:rsidR="00331034" w:rsidRPr="00EC17DB" w:rsidRDefault="004367C6" w:rsidP="00EC17DB">
            <w:pPr>
              <w:spacing w:beforeLines="120" w:afterLines="120"/>
              <w:jc w:val="both"/>
              <w:cnfStyle w:val="000000000000"/>
              <w:rPr>
                <w:rFonts w:cs="Times New Roman"/>
                <w:iCs/>
                <w:lang w:val="en-GB"/>
              </w:rPr>
            </w:pPr>
            <w:r w:rsidRPr="00EC17DB">
              <w:rPr>
                <w:rFonts w:cs="Arial"/>
                <w:color w:val="000000"/>
              </w:rPr>
              <w:t xml:space="preserve">Klinikai eredményesség, </w:t>
            </w:r>
            <w:r w:rsidRPr="00EC17DB">
              <w:rPr>
                <w:rFonts w:eastAsia="Calibri" w:cs="Arial"/>
                <w:color w:val="000000"/>
              </w:rPr>
              <w:t>Biztonság</w:t>
            </w:r>
          </w:p>
        </w:tc>
      </w:tr>
      <w:tr w:rsidR="00AF0D49" w:rsidRPr="00EC17D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EC17DB" w:rsidRDefault="004367C6" w:rsidP="00EC17DB">
            <w:pPr>
              <w:spacing w:before="120" w:after="120"/>
              <w:rPr>
                <w:rFonts w:cs="Times New Roman"/>
                <w:iCs/>
                <w:lang w:val="en-GB"/>
              </w:rPr>
            </w:pPr>
            <w:proofErr w:type="spellStart"/>
            <w:r w:rsidRPr="00EC17DB">
              <w:rPr>
                <w:rFonts w:cs="Times New Roman"/>
                <w:iCs/>
                <w:lang w:val="en-GB"/>
              </w:rPr>
              <w:t>Számláló</w:t>
            </w:r>
            <w:proofErr w:type="spellEnd"/>
          </w:p>
          <w:p w:rsidR="00AF0D49" w:rsidRPr="00EC17DB" w:rsidRDefault="00AF0D49" w:rsidP="00EC17DB">
            <w:pPr>
              <w:spacing w:before="120" w:after="120"/>
              <w:rPr>
                <w:rFonts w:cs="Times New Roman"/>
                <w:lang w:val="en-GB"/>
              </w:rPr>
            </w:pPr>
          </w:p>
        </w:tc>
        <w:tc>
          <w:tcPr>
            <w:tcW w:w="6662" w:type="dxa"/>
          </w:tcPr>
          <w:p w:rsidR="004367C6" w:rsidRPr="00EC17DB" w:rsidRDefault="004367C6" w:rsidP="00EC17DB">
            <w:p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EC17DB">
              <w:rPr>
                <w:rFonts w:eastAsia="Calibri" w:cs="Arial"/>
              </w:rPr>
              <w:t xml:space="preserve">Azoknak a nevezőben szereplő (a bevonási és kizárási kritériumoknak megfelelő) pácienseknek a száma, akiknél </w:t>
            </w:r>
            <w:r w:rsidRPr="00EC17DB">
              <w:rPr>
                <w:rFonts w:cs="Arial"/>
              </w:rPr>
              <w:t xml:space="preserve">tervezett </w:t>
            </w:r>
            <w:r w:rsidR="009A0D8C" w:rsidRPr="00EC17DB">
              <w:rPr>
                <w:rFonts w:cs="Arial"/>
              </w:rPr>
              <w:t xml:space="preserve">méheltávolítás </w:t>
            </w:r>
            <w:r w:rsidRPr="00EC17DB">
              <w:rPr>
                <w:rFonts w:eastAsia="Calibri" w:cs="Arial"/>
              </w:rPr>
              <w:t xml:space="preserve">esetében a </w:t>
            </w:r>
            <w:proofErr w:type="spellStart"/>
            <w:r w:rsidRPr="00EC17DB">
              <w:rPr>
                <w:rFonts w:eastAsia="Calibri" w:cs="Arial"/>
              </w:rPr>
              <w:t>profilaktikus</w:t>
            </w:r>
            <w:proofErr w:type="spellEnd"/>
            <w:r w:rsidRPr="00EC17DB">
              <w:rPr>
                <w:rFonts w:eastAsia="Calibri" w:cs="Arial"/>
              </w:rPr>
              <w:t xml:space="preserve"> antibiotikum alkalmazására vonatkozó irányelvet az öt kritérium mentén teljes mértékben teljesítették. </w:t>
            </w:r>
          </w:p>
          <w:p w:rsidR="004367C6" w:rsidRPr="00EC17DB" w:rsidRDefault="004367C6" w:rsidP="00EC17DB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EC17DB">
              <w:rPr>
                <w:rFonts w:cs="Arial"/>
              </w:rPr>
              <w:t xml:space="preserve">megfelelő antibiotikus </w:t>
            </w:r>
            <w:r w:rsidRPr="00EC17DB">
              <w:rPr>
                <w:rFonts w:eastAsia="Calibri" w:cs="Arial"/>
              </w:rPr>
              <w:t>gyógyszer/hatóanyag (országos szinten meghatározott</w:t>
            </w:r>
          </w:p>
          <w:p w:rsidR="004367C6" w:rsidRPr="00EC17DB" w:rsidRDefault="004367C6" w:rsidP="00EC17DB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eastAsia="Calibri" w:cs="Arial"/>
              </w:rPr>
            </w:pPr>
            <w:r w:rsidRPr="00EC17DB">
              <w:rPr>
                <w:rFonts w:eastAsia="Calibri" w:cs="Arial"/>
              </w:rPr>
              <w:t>megfelelő dózis (országos szinten meghatározott)</w:t>
            </w:r>
          </w:p>
          <w:p w:rsidR="004367C6" w:rsidRPr="00EC17DB" w:rsidRDefault="004367C6" w:rsidP="00EC17DB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eastAsia="Calibri" w:cs="Arial"/>
              </w:rPr>
            </w:pPr>
            <w:r w:rsidRPr="00EC17DB">
              <w:rPr>
                <w:rFonts w:cs="Arial"/>
              </w:rPr>
              <w:t>a</w:t>
            </w:r>
            <w:r w:rsidRPr="00EC17DB">
              <w:rPr>
                <w:rFonts w:eastAsia="Calibri" w:cs="Arial"/>
              </w:rPr>
              <w:t xml:space="preserve"> gyógyszerbeadás megfelelő módja: intravénás beadás (nemzetközi konszenzus). </w:t>
            </w:r>
          </w:p>
          <w:p w:rsidR="004367C6" w:rsidRPr="00EC17DB" w:rsidRDefault="004367C6" w:rsidP="00EC17DB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cs="Arial"/>
              </w:rPr>
            </w:pPr>
            <w:r w:rsidRPr="00EC17DB">
              <w:rPr>
                <w:rFonts w:cs="Arial"/>
              </w:rPr>
              <w:t>m</w:t>
            </w:r>
            <w:r w:rsidRPr="00EC17DB">
              <w:rPr>
                <w:rFonts w:eastAsia="Calibri" w:cs="Arial"/>
              </w:rPr>
              <w:t>egfelelő az időzítés, ha a műtéti sebbemetszést megelőző egy órán</w:t>
            </w:r>
            <w:r w:rsidRPr="00EC17DB">
              <w:rPr>
                <w:rFonts w:eastAsia="Calibri" w:cs="Times New Roman"/>
              </w:rPr>
              <w:footnoteReference w:customMarkFollows="1" w:id="1"/>
              <w:t>6</w:t>
            </w:r>
            <w:r w:rsidRPr="00EC17DB">
              <w:rPr>
                <w:rFonts w:eastAsia="Calibri" w:cs="Arial"/>
              </w:rPr>
              <w:t xml:space="preserve"> belül történik (nemzetközi konszenzus</w:t>
            </w:r>
            <w:r w:rsidRPr="00EC17DB">
              <w:rPr>
                <w:rFonts w:cs="Arial"/>
              </w:rPr>
              <w:t xml:space="preserve">) </w:t>
            </w:r>
          </w:p>
          <w:p w:rsidR="004367C6" w:rsidRPr="00EC17DB" w:rsidRDefault="004367C6" w:rsidP="00EC17DB">
            <w:pPr>
              <w:numPr>
                <w:ilvl w:val="0"/>
                <w:numId w:val="2"/>
              </w:numPr>
              <w:spacing w:beforeLines="120" w:afterLines="120"/>
              <w:jc w:val="both"/>
              <w:cnfStyle w:val="000000100000"/>
              <w:rPr>
                <w:rFonts w:cs="Arial"/>
              </w:rPr>
            </w:pPr>
            <w:r w:rsidRPr="00EC17DB">
              <w:rPr>
                <w:rFonts w:cs="Arial"/>
              </w:rPr>
              <w:t xml:space="preserve"> </w:t>
            </w:r>
            <w:r w:rsidRPr="00EC17DB">
              <w:rPr>
                <w:rFonts w:eastAsia="Calibri" w:cs="Arial"/>
              </w:rPr>
              <w:t>Megfelelő az időzítés, ha a műtéti seb zárását követő 24 órán</w:t>
            </w:r>
            <w:r w:rsidRPr="00EC17DB">
              <w:rPr>
                <w:rFonts w:cs="Arial"/>
              </w:rPr>
              <w:t xml:space="preserve"> (&lt;=24 óra)</w:t>
            </w:r>
            <w:r w:rsidRPr="00EC17DB">
              <w:rPr>
                <w:rFonts w:eastAsia="Calibri" w:cs="Arial"/>
              </w:rPr>
              <w:t xml:space="preserve"> belül véget ér (nemzetközi konszenzus) – vagy a 24 órán túli </w:t>
            </w:r>
            <w:r w:rsidRPr="00EC17DB">
              <w:rPr>
                <w:rFonts w:cs="Arial"/>
              </w:rPr>
              <w:t>(</w:t>
            </w:r>
            <w:proofErr w:type="gramStart"/>
            <w:r w:rsidRPr="00EC17DB">
              <w:rPr>
                <w:rFonts w:cs="Arial"/>
              </w:rPr>
              <w:t>&gt;24</w:t>
            </w:r>
            <w:proofErr w:type="gramEnd"/>
            <w:r w:rsidRPr="00EC17DB">
              <w:rPr>
                <w:rFonts w:cs="Arial"/>
              </w:rPr>
              <w:t xml:space="preserve"> óra) </w:t>
            </w:r>
            <w:r w:rsidRPr="00EC17DB">
              <w:rPr>
                <w:rFonts w:eastAsia="Calibri" w:cs="Arial"/>
              </w:rPr>
              <w:t>kezelés folytatásának megfelelő klinikai indikációja dokumentált</w:t>
            </w:r>
          </w:p>
          <w:p w:rsidR="004367C6" w:rsidRPr="00EC17DB" w:rsidRDefault="004367C6" w:rsidP="00EC17DB">
            <w:pPr>
              <w:spacing w:before="120" w:after="120"/>
              <w:jc w:val="both"/>
              <w:cnfStyle w:val="000000100000"/>
              <w:rPr>
                <w:rFonts w:cs="Arial"/>
              </w:rPr>
            </w:pPr>
          </w:p>
        </w:tc>
      </w:tr>
      <w:tr w:rsidR="00AF0D49" w:rsidRPr="00EC17DB" w:rsidTr="00A255AE">
        <w:tc>
          <w:tcPr>
            <w:cnfStyle w:val="001000000000"/>
            <w:tcW w:w="3544" w:type="dxa"/>
          </w:tcPr>
          <w:p w:rsidR="00AF0D49" w:rsidRPr="00EC17DB" w:rsidRDefault="00A255AE" w:rsidP="00EC17DB">
            <w:pPr>
              <w:spacing w:before="120" w:after="120"/>
              <w:ind w:left="72" w:firstLine="2"/>
              <w:rPr>
                <w:rFonts w:cs="Times New Roman"/>
                <w:iCs/>
              </w:rPr>
            </w:pPr>
            <w:r w:rsidRPr="00EC17DB">
              <w:rPr>
                <w:rFonts w:cs="Times New Roman"/>
                <w:iCs/>
              </w:rPr>
              <w:t xml:space="preserve"> </w:t>
            </w:r>
            <w:r w:rsidR="004367C6" w:rsidRPr="00EC17DB">
              <w:rPr>
                <w:rFonts w:cs="Times New Roman"/>
                <w:iCs/>
              </w:rPr>
              <w:t>Nevező</w:t>
            </w:r>
          </w:p>
          <w:p w:rsidR="00AF0D49" w:rsidRPr="00EC17DB" w:rsidRDefault="00AF0D49" w:rsidP="00EC17DB">
            <w:pPr>
              <w:spacing w:before="120" w:after="120"/>
              <w:rPr>
                <w:rFonts w:cs="Times New Roman"/>
              </w:rPr>
            </w:pPr>
          </w:p>
        </w:tc>
        <w:tc>
          <w:tcPr>
            <w:tcW w:w="6662" w:type="dxa"/>
          </w:tcPr>
          <w:p w:rsidR="004367C6" w:rsidRPr="00EC17DB" w:rsidRDefault="004367C6" w:rsidP="00EC17DB">
            <w:pPr>
              <w:spacing w:before="120" w:after="120"/>
              <w:ind w:left="72" w:firstLine="2"/>
              <w:jc w:val="both"/>
              <w:cnfStyle w:val="000000000000"/>
              <w:rPr>
                <w:rFonts w:cs="Times New Roman"/>
                <w:iCs/>
              </w:rPr>
            </w:pPr>
            <w:r w:rsidRPr="00EC17DB">
              <w:rPr>
                <w:rFonts w:cs="Arial"/>
              </w:rPr>
              <w:t>T</w:t>
            </w:r>
            <w:r w:rsidRPr="00EC17DB">
              <w:rPr>
                <w:rFonts w:eastAsia="Calibri" w:cs="Arial"/>
              </w:rPr>
              <w:t>ervezett</w:t>
            </w:r>
            <w:r w:rsidRPr="00EC17DB">
              <w:rPr>
                <w:rFonts w:cs="Arial"/>
              </w:rPr>
              <w:t xml:space="preserve"> </w:t>
            </w:r>
            <w:r w:rsidR="009A0D8C" w:rsidRPr="00EC17DB">
              <w:rPr>
                <w:rFonts w:cs="Arial"/>
              </w:rPr>
              <w:t>méheltávolításon</w:t>
            </w:r>
            <w:r w:rsidR="00622A21" w:rsidRPr="00EC17DB">
              <w:rPr>
                <w:rFonts w:cs="Arial"/>
              </w:rPr>
              <w:t xml:space="preserve"> beültetésen</w:t>
            </w:r>
            <w:r w:rsidRPr="00EC17DB">
              <w:rPr>
                <w:rFonts w:eastAsia="Calibri" w:cs="Arial"/>
              </w:rPr>
              <w:t xml:space="preserve"> áteső, </w:t>
            </w:r>
            <w:r w:rsidRPr="00EC17DB">
              <w:rPr>
                <w:rFonts w:eastAsia="Calibri" w:cs="Arial"/>
                <w:i/>
              </w:rPr>
              <w:t>18 éves és idősebb</w:t>
            </w:r>
            <w:r w:rsidRPr="00EC17DB">
              <w:rPr>
                <w:rFonts w:eastAsia="Calibri" w:cs="Arial"/>
              </w:rPr>
              <w:t xml:space="preserve"> páciensek.</w:t>
            </w:r>
            <w:r w:rsidRPr="00EC17DB">
              <w:rPr>
                <w:rFonts w:cs="Arial"/>
              </w:rPr>
              <w:t xml:space="preserve"> A bevonási kódokat ld. alább. </w:t>
            </w:r>
          </w:p>
        </w:tc>
      </w:tr>
      <w:tr w:rsidR="00AF0D49" w:rsidRPr="00EC17D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EC17DB" w:rsidRDefault="004367C6" w:rsidP="00EC17DB">
            <w:pPr>
              <w:spacing w:before="120" w:after="120"/>
              <w:ind w:left="72" w:firstLine="2"/>
              <w:rPr>
                <w:rFonts w:cs="Times New Roman"/>
                <w:iCs/>
                <w:lang w:val="en-GB"/>
              </w:rPr>
            </w:pPr>
            <w:proofErr w:type="spellStart"/>
            <w:r w:rsidRPr="00EC17DB">
              <w:rPr>
                <w:rFonts w:cs="Times New Roman"/>
                <w:iCs/>
                <w:lang w:val="en-GB"/>
              </w:rPr>
              <w:lastRenderedPageBreak/>
              <w:t>Kizárás</w:t>
            </w:r>
            <w:proofErr w:type="spellEnd"/>
          </w:p>
        </w:tc>
        <w:tc>
          <w:tcPr>
            <w:tcW w:w="6662" w:type="dxa"/>
          </w:tcPr>
          <w:p w:rsidR="004367C6" w:rsidRPr="00EC17DB" w:rsidRDefault="004367C6" w:rsidP="00EC17DB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eastAsia="Calibri" w:cs="Arial"/>
              </w:rPr>
            </w:pPr>
            <w:r w:rsidRPr="00EC17DB">
              <w:rPr>
                <w:rFonts w:eastAsia="Calibri" w:cs="Arial"/>
              </w:rPr>
              <w:t xml:space="preserve">Műtét előtti fertőzésről bizonyosság </w:t>
            </w:r>
          </w:p>
          <w:p w:rsidR="004367C6" w:rsidRPr="00EC17DB" w:rsidRDefault="004367C6" w:rsidP="00EC17DB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eastAsia="Calibri" w:cs="Arial"/>
              </w:rPr>
            </w:pPr>
            <w:r w:rsidRPr="00EC17DB">
              <w:rPr>
                <w:rFonts w:eastAsia="Calibri" w:cs="Arial"/>
              </w:rPr>
              <w:t>Allergia az antibiotikus hatóanyagra, ha a fenti 1. kritérium szerint ajánlottak közül egyik sem adható</w:t>
            </w:r>
            <w:ins w:id="0" w:author="Kováts Gergely" w:date="2011-01-13T22:17:00Z">
              <w:r w:rsidRPr="00EC17DB">
                <w:rPr>
                  <w:rFonts w:eastAsia="Calibri" w:cs="Arial"/>
                </w:rPr>
                <w:t>,</w:t>
              </w:r>
            </w:ins>
          </w:p>
          <w:p w:rsidR="004367C6" w:rsidRPr="00EC17DB" w:rsidRDefault="004367C6" w:rsidP="00EC17DB">
            <w:pPr>
              <w:numPr>
                <w:ilvl w:val="0"/>
                <w:numId w:val="3"/>
              </w:numPr>
              <w:tabs>
                <w:tab w:val="clear" w:pos="720"/>
                <w:tab w:val="num" w:pos="648"/>
              </w:tabs>
              <w:spacing w:beforeLines="50" w:afterLines="50"/>
              <w:ind w:left="714" w:hanging="357"/>
              <w:jc w:val="both"/>
              <w:cnfStyle w:val="000000100000"/>
              <w:rPr>
                <w:rFonts w:cs="Arial"/>
              </w:rPr>
            </w:pPr>
            <w:r w:rsidRPr="00EC17DB">
              <w:rPr>
                <w:rFonts w:eastAsia="Calibri" w:cs="Arial"/>
              </w:rPr>
              <w:t>Nem tervezett (sürgős) műtét</w:t>
            </w:r>
          </w:p>
          <w:p w:rsidR="00AF0D49" w:rsidRPr="00EC17DB" w:rsidRDefault="00AF0D49" w:rsidP="00EC17DB">
            <w:pPr>
              <w:spacing w:before="120" w:after="120"/>
              <w:ind w:left="7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</w:p>
        </w:tc>
      </w:tr>
      <w:tr w:rsidR="00AF0D49" w:rsidRPr="00EC17DB" w:rsidTr="00A255AE">
        <w:tc>
          <w:tcPr>
            <w:cnfStyle w:val="001000000000"/>
            <w:tcW w:w="3544" w:type="dxa"/>
          </w:tcPr>
          <w:p w:rsidR="00AF0D49" w:rsidRPr="00EC17DB" w:rsidRDefault="004367C6" w:rsidP="00EC17D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Mértékegység</w:t>
            </w:r>
            <w:proofErr w:type="spellEnd"/>
          </w:p>
        </w:tc>
        <w:tc>
          <w:tcPr>
            <w:tcW w:w="6662" w:type="dxa"/>
          </w:tcPr>
          <w:p w:rsidR="00AF0D49" w:rsidRPr="00EC17DB" w:rsidRDefault="00EC17DB" w:rsidP="00EC17DB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Százalék</w:t>
            </w:r>
            <w:proofErr w:type="spellEnd"/>
          </w:p>
        </w:tc>
      </w:tr>
      <w:tr w:rsidR="00AF0D49" w:rsidRPr="00EC17DB" w:rsidTr="00A255AE">
        <w:trPr>
          <w:cnfStyle w:val="000000100000"/>
        </w:trPr>
        <w:tc>
          <w:tcPr>
            <w:cnfStyle w:val="001000000000"/>
            <w:tcW w:w="3544" w:type="dxa"/>
          </w:tcPr>
          <w:p w:rsidR="00AF0D49" w:rsidRPr="00EC17DB" w:rsidRDefault="004367C6" w:rsidP="00EC17DB">
            <w:pPr>
              <w:spacing w:before="120" w:after="120"/>
              <w:rPr>
                <w:rFonts w:cs="Times New Roman"/>
                <w:lang w:val="en-GB"/>
              </w:rPr>
            </w:pPr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Adatforrás</w:t>
            </w:r>
            <w:proofErr w:type="spellEnd"/>
          </w:p>
          <w:p w:rsidR="00331034" w:rsidRPr="00EC17DB" w:rsidRDefault="00331034" w:rsidP="00EC17DB">
            <w:pPr>
              <w:spacing w:before="120" w:after="120"/>
              <w:rPr>
                <w:rFonts w:cs="Times New Roman"/>
                <w:lang w:val="en-GB"/>
              </w:rPr>
            </w:pPr>
          </w:p>
        </w:tc>
        <w:tc>
          <w:tcPr>
            <w:tcW w:w="6662" w:type="dxa"/>
          </w:tcPr>
          <w:p w:rsidR="004367C6" w:rsidRPr="00EC17DB" w:rsidRDefault="004367C6" w:rsidP="00EC17DB">
            <w:pPr>
              <w:autoSpaceDE w:val="0"/>
              <w:autoSpaceDN w:val="0"/>
              <w:adjustRightInd w:val="0"/>
              <w:spacing w:beforeLines="120" w:afterLines="120"/>
              <w:jc w:val="both"/>
              <w:cnfStyle w:val="000000100000"/>
              <w:rPr>
                <w:rFonts w:cs="Times New Roman"/>
              </w:rPr>
            </w:pPr>
            <w:proofErr w:type="spellStart"/>
            <w:r w:rsidRPr="00EC17DB">
              <w:rPr>
                <w:rFonts w:eastAsia="Calibri" w:cs="Arial"/>
              </w:rPr>
              <w:t>Prospektív</w:t>
            </w:r>
            <w:proofErr w:type="spellEnd"/>
            <w:r w:rsidRPr="00EC17DB">
              <w:rPr>
                <w:rFonts w:eastAsia="Calibri" w:cs="Arial"/>
              </w:rPr>
              <w:t xml:space="preserve"> adatgyűjtés az év folyamán legalább két időszakban folyamatosan </w:t>
            </w:r>
          </w:p>
        </w:tc>
      </w:tr>
      <w:tr w:rsidR="004367C6" w:rsidRPr="00EC17DB" w:rsidTr="00A255AE">
        <w:tc>
          <w:tcPr>
            <w:cnfStyle w:val="001000000000"/>
            <w:tcW w:w="3544" w:type="dxa"/>
          </w:tcPr>
          <w:p w:rsidR="004367C6" w:rsidRPr="00EC17DB" w:rsidRDefault="00EC17DB" w:rsidP="00EC17D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>
              <w:rPr>
                <w:rFonts w:cs="Times New Roman"/>
                <w:lang w:val="en-GB"/>
              </w:rPr>
              <w:t>Mini</w:t>
            </w:r>
            <w:r w:rsidR="004367C6" w:rsidRPr="00EC17DB">
              <w:rPr>
                <w:rFonts w:cs="Times New Roman"/>
                <w:lang w:val="en-GB"/>
              </w:rPr>
              <w:t>mális</w:t>
            </w:r>
            <w:proofErr w:type="spellEnd"/>
            <w:r w:rsidR="004367C6"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="004367C6" w:rsidRPr="00EC17DB">
              <w:rPr>
                <w:rFonts w:cs="Times New Roman"/>
                <w:lang w:val="en-GB"/>
              </w:rPr>
              <w:t>esetszám</w:t>
            </w:r>
            <w:proofErr w:type="spellEnd"/>
          </w:p>
        </w:tc>
        <w:tc>
          <w:tcPr>
            <w:tcW w:w="6662" w:type="dxa"/>
          </w:tcPr>
          <w:p w:rsidR="004367C6" w:rsidRPr="00EC17DB" w:rsidRDefault="00EC17DB" w:rsidP="00EC17DB">
            <w:pPr>
              <w:spacing w:before="120" w:after="120"/>
              <w:jc w:val="both"/>
              <w:cnfStyle w:val="000000000000"/>
              <w:rPr>
                <w:rFonts w:cstheme="minorHAnsi"/>
                <w:lang w:val="en-GB"/>
              </w:rPr>
            </w:pPr>
            <w:proofErr w:type="spellStart"/>
            <w:r w:rsidRPr="00EC17DB">
              <w:rPr>
                <w:rFonts w:cstheme="minorHAnsi"/>
                <w:lang w:val="en-GB"/>
              </w:rPr>
              <w:t>Adatgyűjtési</w:t>
            </w:r>
            <w:proofErr w:type="spellEnd"/>
            <w:r w:rsidRPr="00EC17DB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időszakonként</w:t>
            </w:r>
            <w:proofErr w:type="spellEnd"/>
            <w:r w:rsidR="004367C6" w:rsidRPr="00EC17DB">
              <w:rPr>
                <w:rFonts w:cstheme="minorHAnsi"/>
                <w:lang w:val="en-GB"/>
              </w:rPr>
              <w:t xml:space="preserve"> 60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egymást</w:t>
            </w:r>
            <w:proofErr w:type="spellEnd"/>
            <w:r w:rsidR="004367C6" w:rsidRPr="00EC17DB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követő</w:t>
            </w:r>
            <w:proofErr w:type="spellEnd"/>
            <w:r w:rsidR="004367C6" w:rsidRPr="00EC17DB">
              <w:rPr>
                <w:rFonts w:cstheme="minorHAnsi"/>
                <w:lang w:val="en-GB"/>
              </w:rPr>
              <w:t xml:space="preserve"> a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bevonási</w:t>
            </w:r>
            <w:proofErr w:type="spellEnd"/>
            <w:r w:rsidR="004367C6" w:rsidRPr="00EC17DB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és</w:t>
            </w:r>
            <w:proofErr w:type="spellEnd"/>
            <w:r w:rsidR="004367C6" w:rsidRPr="00EC17DB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kizárási</w:t>
            </w:r>
            <w:proofErr w:type="spellEnd"/>
            <w:r w:rsidR="004367C6" w:rsidRPr="00EC17DB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kritériumnak</w:t>
            </w:r>
            <w:proofErr w:type="spellEnd"/>
            <w:r w:rsidR="004367C6" w:rsidRPr="00EC17DB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megfelelő</w:t>
            </w:r>
            <w:proofErr w:type="spellEnd"/>
            <w:r w:rsidR="004367C6" w:rsidRPr="00EC17DB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4367C6" w:rsidRPr="00EC17DB">
              <w:rPr>
                <w:rFonts w:cstheme="minorHAnsi"/>
                <w:lang w:val="en-GB"/>
              </w:rPr>
              <w:t>eset</w:t>
            </w:r>
            <w:proofErr w:type="spellEnd"/>
          </w:p>
        </w:tc>
      </w:tr>
      <w:tr w:rsidR="004367C6" w:rsidRPr="00EC17DB" w:rsidTr="00A255AE">
        <w:trPr>
          <w:cnfStyle w:val="000000100000"/>
        </w:trPr>
        <w:tc>
          <w:tcPr>
            <w:cnfStyle w:val="001000000000"/>
            <w:tcW w:w="3544" w:type="dxa"/>
          </w:tcPr>
          <w:p w:rsidR="004367C6" w:rsidRPr="00EC17DB" w:rsidRDefault="004367C6" w:rsidP="00EC17D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Alindikátorok</w:t>
            </w:r>
            <w:proofErr w:type="spellEnd"/>
          </w:p>
        </w:tc>
        <w:tc>
          <w:tcPr>
            <w:tcW w:w="6662" w:type="dxa"/>
          </w:tcPr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EC17DB">
              <w:rPr>
                <w:rFonts w:cs="Times New Roman"/>
                <w:lang w:val="en-GB"/>
              </w:rPr>
              <w:t xml:space="preserve">1. </w:t>
            </w:r>
            <w:proofErr w:type="spellStart"/>
            <w:r w:rsidRPr="00EC17DB">
              <w:rPr>
                <w:rFonts w:cs="Times New Roman"/>
                <w:lang w:val="en-GB"/>
              </w:rPr>
              <w:t>kritériumnak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való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EC17DB">
              <w:rPr>
                <w:rFonts w:cs="Times New Roman"/>
                <w:lang w:val="en-GB"/>
              </w:rPr>
              <w:t xml:space="preserve"> 2. </w:t>
            </w:r>
            <w:proofErr w:type="spellStart"/>
            <w:r w:rsidRPr="00EC17DB">
              <w:rPr>
                <w:rFonts w:cs="Times New Roman"/>
                <w:lang w:val="en-GB"/>
              </w:rPr>
              <w:t>kritériumnak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való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EC17DB">
              <w:rPr>
                <w:rFonts w:cs="Times New Roman"/>
                <w:lang w:val="en-GB"/>
              </w:rPr>
              <w:t xml:space="preserve">3. </w:t>
            </w:r>
            <w:proofErr w:type="spellStart"/>
            <w:r w:rsidRPr="00EC17DB">
              <w:rPr>
                <w:rFonts w:cs="Times New Roman"/>
                <w:lang w:val="en-GB"/>
              </w:rPr>
              <w:t>kritériumnak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való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EC17DB">
              <w:rPr>
                <w:rFonts w:cs="Times New Roman"/>
                <w:lang w:val="en-GB"/>
              </w:rPr>
              <w:t xml:space="preserve">4. </w:t>
            </w:r>
            <w:proofErr w:type="spellStart"/>
            <w:r w:rsidRPr="00EC17DB">
              <w:rPr>
                <w:rFonts w:cs="Times New Roman"/>
                <w:lang w:val="en-GB"/>
              </w:rPr>
              <w:t>kritériumnak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való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EC17DB">
              <w:rPr>
                <w:rFonts w:cs="Times New Roman"/>
                <w:lang w:val="en-GB"/>
              </w:rPr>
              <w:t xml:space="preserve">5. </w:t>
            </w:r>
            <w:proofErr w:type="spellStart"/>
            <w:r w:rsidRPr="00EC17DB">
              <w:rPr>
                <w:rFonts w:cs="Times New Roman"/>
                <w:lang w:val="en-GB"/>
              </w:rPr>
              <w:t>kritériumnak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való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megfelelőség</w:t>
            </w:r>
            <w:proofErr w:type="spellEnd"/>
          </w:p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proofErr w:type="spellStart"/>
            <w:proofErr w:type="gramStart"/>
            <w:r w:rsidRPr="00EC17DB">
              <w:rPr>
                <w:rFonts w:cs="Times New Roman"/>
                <w:lang w:val="en-GB"/>
              </w:rPr>
              <w:t>egylövetű</w:t>
            </w:r>
            <w:proofErr w:type="spellEnd"/>
            <w:proofErr w:type="gram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kezelések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aránya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(%)</w:t>
            </w:r>
          </w:p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proofErr w:type="spellStart"/>
            <w:proofErr w:type="gramStart"/>
            <w:r w:rsidRPr="00EC17DB">
              <w:rPr>
                <w:rFonts w:cs="Times New Roman"/>
                <w:lang w:val="en-GB"/>
              </w:rPr>
              <w:t>túlzott</w:t>
            </w:r>
            <w:proofErr w:type="spellEnd"/>
            <w:proofErr w:type="gram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alkalmazás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(%)</w:t>
            </w:r>
          </w:p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proofErr w:type="spellStart"/>
            <w:proofErr w:type="gramStart"/>
            <w:r w:rsidRPr="00EC17DB">
              <w:rPr>
                <w:rFonts w:cs="Times New Roman"/>
                <w:lang w:val="en-GB"/>
              </w:rPr>
              <w:t>hiányos</w:t>
            </w:r>
            <w:proofErr w:type="spellEnd"/>
            <w:proofErr w:type="gram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alkalmazás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(%)</w:t>
            </w:r>
          </w:p>
          <w:p w:rsidR="004367C6" w:rsidRPr="00EC17DB" w:rsidRDefault="005D4975" w:rsidP="00EC17DB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téves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alkalmazás</w:t>
            </w:r>
            <w:proofErr w:type="spellEnd"/>
          </w:p>
        </w:tc>
      </w:tr>
      <w:tr w:rsidR="004367C6" w:rsidRPr="00EC17DB" w:rsidTr="00A255AE">
        <w:tc>
          <w:tcPr>
            <w:cnfStyle w:val="001000000000"/>
            <w:tcW w:w="3544" w:type="dxa"/>
          </w:tcPr>
          <w:p w:rsidR="004367C6" w:rsidRPr="00EC17DB" w:rsidRDefault="004367C6" w:rsidP="00EC17D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Kiegyenlítés</w:t>
            </w:r>
            <w:proofErr w:type="spellEnd"/>
            <w:r w:rsidRPr="00EC17DB">
              <w:rPr>
                <w:rFonts w:cs="Times New Roman"/>
                <w:lang w:val="en-GB"/>
              </w:rPr>
              <w:t>/</w:t>
            </w:r>
            <w:r w:rsid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rétegzés</w:t>
            </w:r>
            <w:proofErr w:type="spellEnd"/>
          </w:p>
        </w:tc>
        <w:tc>
          <w:tcPr>
            <w:tcW w:w="6662" w:type="dxa"/>
          </w:tcPr>
          <w:p w:rsidR="004367C6" w:rsidRPr="00EC17DB" w:rsidRDefault="004367C6" w:rsidP="00EC17DB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Nem</w:t>
            </w:r>
            <w:proofErr w:type="spellEnd"/>
            <w:r w:rsidRPr="00EC17DB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EC17DB">
              <w:rPr>
                <w:rFonts w:cs="Times New Roman"/>
                <w:lang w:val="en-GB"/>
              </w:rPr>
              <w:t>releváns</w:t>
            </w:r>
            <w:proofErr w:type="spellEnd"/>
          </w:p>
        </w:tc>
      </w:tr>
      <w:tr w:rsidR="004367C6" w:rsidRPr="00EC17DB" w:rsidTr="00A255AE">
        <w:trPr>
          <w:cnfStyle w:val="000000100000"/>
        </w:trPr>
        <w:tc>
          <w:tcPr>
            <w:cnfStyle w:val="001000000000"/>
            <w:tcW w:w="3544" w:type="dxa"/>
          </w:tcPr>
          <w:p w:rsidR="004367C6" w:rsidRPr="00EC17DB" w:rsidRDefault="005D4975" w:rsidP="00EC17DB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EC17DB">
              <w:rPr>
                <w:rFonts w:cs="Times New Roman"/>
                <w:lang w:val="en-GB"/>
              </w:rPr>
              <w:t>Értelmezés</w:t>
            </w:r>
            <w:proofErr w:type="spellEnd"/>
          </w:p>
        </w:tc>
        <w:tc>
          <w:tcPr>
            <w:tcW w:w="6662" w:type="dxa"/>
          </w:tcPr>
          <w:p w:rsidR="005D4975" w:rsidRPr="00EC17DB" w:rsidRDefault="005D4975" w:rsidP="00EC17DB">
            <w:pPr>
              <w:spacing w:beforeLines="50" w:afterLines="50"/>
              <w:jc w:val="both"/>
              <w:cnfStyle w:val="000000100000"/>
              <w:rPr>
                <w:rFonts w:cs="Times New Roman"/>
              </w:rPr>
            </w:pPr>
            <w:r w:rsidRPr="00EC17DB">
              <w:rPr>
                <w:rFonts w:eastAsia="Calibri" w:cs="Arial"/>
                <w:bCs/>
              </w:rPr>
              <w:t>A fejlődést a teljes megfelelőségi arány növekedése jelenti. Egy 100%-</w:t>
            </w:r>
            <w:proofErr w:type="gramStart"/>
            <w:r w:rsidRPr="00EC17DB">
              <w:rPr>
                <w:rFonts w:eastAsia="Calibri" w:cs="Arial"/>
                <w:bCs/>
              </w:rPr>
              <w:t>hoz</w:t>
            </w:r>
            <w:proofErr w:type="gramEnd"/>
            <w:r w:rsidRPr="00EC17DB">
              <w:rPr>
                <w:rFonts w:eastAsia="Calibri" w:cs="Arial"/>
                <w:bCs/>
              </w:rPr>
              <w:t xml:space="preserve"> közeli arány lenne kívánatos</w:t>
            </w:r>
            <w:r w:rsidRPr="00EC17DB">
              <w:rPr>
                <w:rFonts w:cs="Arial"/>
                <w:bCs/>
              </w:rPr>
              <w:t xml:space="preserve">. </w:t>
            </w:r>
          </w:p>
        </w:tc>
      </w:tr>
      <w:tr w:rsidR="004367C6" w:rsidRPr="00EC17DB" w:rsidTr="00A255AE">
        <w:tc>
          <w:tcPr>
            <w:cnfStyle w:val="001000000000"/>
            <w:tcW w:w="3544" w:type="dxa"/>
          </w:tcPr>
          <w:p w:rsidR="004367C6" w:rsidRPr="00EC17DB" w:rsidRDefault="005D4975" w:rsidP="00EC17DB">
            <w:pPr>
              <w:spacing w:before="120" w:after="120"/>
              <w:rPr>
                <w:rFonts w:eastAsia="Calibri" w:cs="Arial"/>
              </w:rPr>
            </w:pPr>
            <w:r w:rsidRPr="00EC17DB">
              <w:rPr>
                <w:rFonts w:eastAsia="Calibri" w:cs="Arial"/>
              </w:rPr>
              <w:t xml:space="preserve">Kódok </w:t>
            </w:r>
          </w:p>
        </w:tc>
        <w:tc>
          <w:tcPr>
            <w:tcW w:w="6662" w:type="dxa"/>
          </w:tcPr>
          <w:p w:rsidR="004367C6" w:rsidRPr="00EC17DB" w:rsidRDefault="004367C6" w:rsidP="00EC17DB">
            <w:pPr>
              <w:spacing w:before="120" w:after="120"/>
              <w:jc w:val="both"/>
              <w:cnfStyle w:val="000000000000"/>
              <w:rPr>
                <w:rFonts w:eastAsia="Calibri" w:cs="Arial"/>
                <w:bCs/>
              </w:rPr>
            </w:pPr>
            <w:r w:rsidRPr="00EC17DB">
              <w:rPr>
                <w:rFonts w:eastAsia="Calibri" w:cs="Arial"/>
                <w:bCs/>
              </w:rPr>
              <w:t xml:space="preserve"> </w:t>
            </w:r>
            <w:r w:rsidR="005D4975" w:rsidRPr="00EC17DB">
              <w:rPr>
                <w:rFonts w:eastAsia="Calibri" w:cs="Arial"/>
                <w:bCs/>
              </w:rPr>
              <w:t>Bevonás</w:t>
            </w:r>
            <w:r w:rsidR="009A0D8C" w:rsidRPr="00EC17DB">
              <w:rPr>
                <w:rFonts w:eastAsia="Calibri" w:cs="Arial"/>
                <w:bCs/>
              </w:rPr>
              <w:t>: Beavatkozási kódok: 56803, 56810, 56820, 56821-56860</w:t>
            </w:r>
          </w:p>
        </w:tc>
      </w:tr>
    </w:tbl>
    <w:p w:rsidR="00AF0D49" w:rsidRPr="00EC17DB" w:rsidRDefault="00AF0D49" w:rsidP="00AF0D49">
      <w:pPr>
        <w:rPr>
          <w:rFonts w:eastAsia="Calibri" w:cs="Arial"/>
          <w:bCs/>
        </w:rPr>
      </w:pPr>
    </w:p>
    <w:sectPr w:rsidR="00AF0D49" w:rsidRPr="00EC17DB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25B" w:rsidRDefault="0067025B" w:rsidP="00AF0D49">
      <w:pPr>
        <w:spacing w:after="0" w:line="240" w:lineRule="auto"/>
      </w:pPr>
      <w:r>
        <w:separator/>
      </w:r>
    </w:p>
  </w:endnote>
  <w:endnote w:type="continuationSeparator" w:id="0">
    <w:p w:rsidR="0067025B" w:rsidRDefault="0067025B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87CC5" w:rsidRDefault="00487CC5">
            <w:pPr>
              <w:pStyle w:val="llb"/>
            </w:pPr>
            <w:r>
              <w:t xml:space="preserve"> </w:t>
            </w:r>
            <w:r w:rsidR="007D385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D385A">
              <w:rPr>
                <w:b/>
                <w:sz w:val="24"/>
                <w:szCs w:val="24"/>
              </w:rPr>
              <w:fldChar w:fldCharType="separate"/>
            </w:r>
            <w:r w:rsidR="00EC17DB">
              <w:rPr>
                <w:b/>
                <w:noProof/>
              </w:rPr>
              <w:t>2</w:t>
            </w:r>
            <w:r w:rsidR="007D385A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7D385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D385A">
              <w:rPr>
                <w:b/>
                <w:sz w:val="24"/>
                <w:szCs w:val="24"/>
              </w:rPr>
              <w:fldChar w:fldCharType="separate"/>
            </w:r>
            <w:r w:rsidR="00EC17DB">
              <w:rPr>
                <w:b/>
                <w:noProof/>
              </w:rPr>
              <w:t>2</w:t>
            </w:r>
            <w:r w:rsidR="007D385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7CC5" w:rsidRDefault="00487CC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25B" w:rsidRDefault="0067025B" w:rsidP="00AF0D49">
      <w:pPr>
        <w:spacing w:after="0" w:line="240" w:lineRule="auto"/>
      </w:pPr>
      <w:r>
        <w:separator/>
      </w:r>
    </w:p>
  </w:footnote>
  <w:footnote w:type="continuationSeparator" w:id="0">
    <w:p w:rsidR="0067025B" w:rsidRDefault="0067025B" w:rsidP="00AF0D49">
      <w:pPr>
        <w:spacing w:after="0" w:line="240" w:lineRule="auto"/>
      </w:pPr>
      <w:r>
        <w:continuationSeparator/>
      </w:r>
    </w:p>
  </w:footnote>
  <w:footnote w:id="1">
    <w:p w:rsidR="004367C6" w:rsidRPr="004367C6" w:rsidRDefault="004367C6" w:rsidP="004367C6">
      <w:pPr>
        <w:pStyle w:val="Lbjegyzetszveg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0A6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E86724"/>
    <w:multiLevelType w:val="hybridMultilevel"/>
    <w:tmpl w:val="93AEFABE"/>
    <w:lvl w:ilvl="0" w:tplc="D9B6B5E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A756C"/>
    <w:rsid w:val="001C6504"/>
    <w:rsid w:val="00270FF7"/>
    <w:rsid w:val="002C1399"/>
    <w:rsid w:val="002E61C4"/>
    <w:rsid w:val="00331034"/>
    <w:rsid w:val="004367C6"/>
    <w:rsid w:val="00457CFD"/>
    <w:rsid w:val="00487CC5"/>
    <w:rsid w:val="004E308F"/>
    <w:rsid w:val="00565641"/>
    <w:rsid w:val="005D4975"/>
    <w:rsid w:val="005E2208"/>
    <w:rsid w:val="00622A21"/>
    <w:rsid w:val="0067025B"/>
    <w:rsid w:val="006805C1"/>
    <w:rsid w:val="00682120"/>
    <w:rsid w:val="006870DE"/>
    <w:rsid w:val="006E397D"/>
    <w:rsid w:val="00724762"/>
    <w:rsid w:val="00762906"/>
    <w:rsid w:val="007D2FBA"/>
    <w:rsid w:val="007D385A"/>
    <w:rsid w:val="00823D61"/>
    <w:rsid w:val="00944C98"/>
    <w:rsid w:val="009A0D8C"/>
    <w:rsid w:val="009C5B91"/>
    <w:rsid w:val="00A255AE"/>
    <w:rsid w:val="00A91140"/>
    <w:rsid w:val="00AA239F"/>
    <w:rsid w:val="00AD3252"/>
    <w:rsid w:val="00AF0D49"/>
    <w:rsid w:val="00B22813"/>
    <w:rsid w:val="00B232B5"/>
    <w:rsid w:val="00B933CE"/>
    <w:rsid w:val="00C73CA8"/>
    <w:rsid w:val="00C86E5B"/>
    <w:rsid w:val="00CD3D98"/>
    <w:rsid w:val="00CF2E00"/>
    <w:rsid w:val="00EC17DB"/>
    <w:rsid w:val="00EF1AA3"/>
    <w:rsid w:val="00F71F11"/>
    <w:rsid w:val="00FB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  <w:style w:type="paragraph" w:styleId="Lbjegyzetszveg">
    <w:name w:val="footnote text"/>
    <w:basedOn w:val="Norml"/>
    <w:link w:val="LbjegyzetszvegChar"/>
    <w:semiHidden/>
    <w:rsid w:val="00436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4367C6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semiHidden/>
    <w:rsid w:val="004367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292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4</cp:revision>
  <dcterms:created xsi:type="dcterms:W3CDTF">2012-11-06T14:58:00Z</dcterms:created>
  <dcterms:modified xsi:type="dcterms:W3CDTF">2012-11-26T13:22:00Z</dcterms:modified>
</cp:coreProperties>
</file>