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D49" w:rsidRPr="00FD308F" w:rsidRDefault="00AF0D49" w:rsidP="00AF0D49">
      <w:pPr>
        <w:jc w:val="center"/>
      </w:pPr>
      <w:r w:rsidRPr="00FD308F">
        <w:rPr>
          <w:noProof/>
          <w:lang w:eastAsia="hu-HU"/>
        </w:rPr>
        <w:drawing>
          <wp:inline distT="0" distB="0" distL="0" distR="0">
            <wp:extent cx="1988185" cy="743585"/>
            <wp:effectExtent l="19050" t="0" r="0" b="0"/>
            <wp:docPr id="1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D49" w:rsidRPr="00FD308F" w:rsidRDefault="00FE3509" w:rsidP="00FD308F">
      <w:pPr>
        <w:pStyle w:val="Cmsor1"/>
        <w:jc w:val="center"/>
      </w:pPr>
      <w:r w:rsidRPr="00FD308F">
        <w:t xml:space="preserve">C9 </w:t>
      </w:r>
      <w:proofErr w:type="gramStart"/>
      <w:r w:rsidR="00456887" w:rsidRPr="00FD308F">
        <w:t>A</w:t>
      </w:r>
      <w:proofErr w:type="gramEnd"/>
      <w:r w:rsidR="00456887" w:rsidRPr="00FD308F">
        <w:t xml:space="preserve"> műtő kihasználtsága</w:t>
      </w:r>
    </w:p>
    <w:p w:rsidR="00F76DB2" w:rsidRPr="00FD308F" w:rsidRDefault="00F76DB2" w:rsidP="00F76DB2"/>
    <w:tbl>
      <w:tblPr>
        <w:tblStyle w:val="Kzepesrnykols21jellszn1"/>
        <w:tblW w:w="0" w:type="auto"/>
        <w:tblLook w:val="04A0"/>
      </w:tblPr>
      <w:tblGrid>
        <w:gridCol w:w="3085"/>
        <w:gridCol w:w="6127"/>
      </w:tblGrid>
      <w:tr w:rsidR="00AF0D49" w:rsidRPr="00FD308F" w:rsidTr="00FD308F">
        <w:trPr>
          <w:cnfStyle w:val="100000000000"/>
        </w:trPr>
        <w:tc>
          <w:tcPr>
            <w:cnfStyle w:val="001000000100"/>
            <w:tcW w:w="3085" w:type="dxa"/>
            <w:vAlign w:val="center"/>
          </w:tcPr>
          <w:p w:rsidR="00AF0D49" w:rsidRPr="00FD308F" w:rsidRDefault="00456887" w:rsidP="00FD308F">
            <w:pPr>
              <w:spacing w:before="120" w:after="120"/>
            </w:pPr>
            <w:r w:rsidRPr="00FD308F">
              <w:rPr>
                <w:rFonts w:cs="Arial"/>
              </w:rPr>
              <w:t>Rövid név</w:t>
            </w:r>
          </w:p>
        </w:tc>
        <w:tc>
          <w:tcPr>
            <w:tcW w:w="6127" w:type="dxa"/>
            <w:vAlign w:val="center"/>
          </w:tcPr>
          <w:p w:rsidR="00AF0D49" w:rsidRPr="00FD308F" w:rsidRDefault="00456887" w:rsidP="00FD308F">
            <w:pPr>
              <w:tabs>
                <w:tab w:val="left" w:pos="72"/>
              </w:tabs>
              <w:spacing w:before="120" w:after="120"/>
              <w:jc w:val="both"/>
              <w:cnfStyle w:val="100000000000"/>
            </w:pPr>
            <w:r w:rsidRPr="00FD308F">
              <w:t>A műtő kihasználtsága</w:t>
            </w:r>
          </w:p>
        </w:tc>
      </w:tr>
      <w:tr w:rsidR="00AF0D49" w:rsidRPr="00FD308F" w:rsidTr="00FD308F">
        <w:trPr>
          <w:cnfStyle w:val="000000100000"/>
        </w:trPr>
        <w:tc>
          <w:tcPr>
            <w:cnfStyle w:val="001000000000"/>
            <w:tcW w:w="3085" w:type="dxa"/>
            <w:vAlign w:val="center"/>
          </w:tcPr>
          <w:p w:rsidR="00AF0D49" w:rsidRPr="00FD308F" w:rsidRDefault="00456887" w:rsidP="00FD308F">
            <w:pPr>
              <w:spacing w:before="120" w:after="120"/>
            </w:pPr>
            <w:r w:rsidRPr="00FD308F">
              <w:t>Részletes név</w:t>
            </w:r>
          </w:p>
        </w:tc>
        <w:tc>
          <w:tcPr>
            <w:tcW w:w="6127" w:type="dxa"/>
            <w:vAlign w:val="center"/>
          </w:tcPr>
          <w:p w:rsidR="00AF0D49" w:rsidRPr="00FD308F" w:rsidRDefault="00456887" w:rsidP="00FD308F">
            <w:pPr>
              <w:spacing w:before="120" w:after="120"/>
              <w:jc w:val="both"/>
              <w:cnfStyle w:val="000000100000"/>
              <w:rPr>
                <w:rFonts w:cs="Century Gothic"/>
                <w:lang w:eastAsia="pl-PL" w:bidi="pl-PL"/>
              </w:rPr>
            </w:pPr>
            <w:r w:rsidRPr="00FD308F">
              <w:rPr>
                <w:rFonts w:cs="Century Gothic"/>
                <w:lang w:eastAsia="pl-PL" w:bidi="pl-PL"/>
              </w:rPr>
              <w:t>A műtő használatának hatékonysága tervezett és sürgős műtétek (fekvőbeteg és egynapos sebészeti ellátás) esetén.</w:t>
            </w:r>
          </w:p>
        </w:tc>
      </w:tr>
      <w:tr w:rsidR="00AF0D49" w:rsidRPr="00FD308F" w:rsidTr="00FD308F">
        <w:tc>
          <w:tcPr>
            <w:cnfStyle w:val="001000000000"/>
            <w:tcW w:w="3085" w:type="dxa"/>
            <w:vAlign w:val="center"/>
          </w:tcPr>
          <w:p w:rsidR="00AF0D49" w:rsidRPr="00FD308F" w:rsidRDefault="00456887" w:rsidP="00FD308F">
            <w:pPr>
              <w:spacing w:before="120" w:after="120"/>
            </w:pPr>
            <w:r w:rsidRPr="00FD308F">
              <w:t>Rövid definíció</w:t>
            </w:r>
          </w:p>
        </w:tc>
        <w:tc>
          <w:tcPr>
            <w:tcW w:w="6127" w:type="dxa"/>
            <w:vAlign w:val="center"/>
          </w:tcPr>
          <w:p w:rsidR="00AF0D49" w:rsidRPr="00FD308F" w:rsidRDefault="00456887" w:rsidP="00FD308F">
            <w:pPr>
              <w:spacing w:before="120" w:after="120"/>
              <w:jc w:val="both"/>
              <w:cnfStyle w:val="000000000000"/>
              <w:rPr>
                <w:rFonts w:cs="Century Gothic"/>
                <w:lang w:eastAsia="pl-PL" w:bidi="pl-PL"/>
              </w:rPr>
            </w:pPr>
            <w:r w:rsidRPr="00FD308F">
              <w:rPr>
                <w:rFonts w:cs="Century Gothic"/>
                <w:lang w:eastAsia="pl-PL" w:bidi="pl-PL"/>
              </w:rPr>
              <w:t xml:space="preserve"> A műtőben hasznosan (közvetlenül a beteggel) töltött idő százalékos aránya</w:t>
            </w:r>
          </w:p>
        </w:tc>
      </w:tr>
      <w:tr w:rsidR="00AF0D49" w:rsidRPr="00FD308F" w:rsidTr="00FD308F">
        <w:trPr>
          <w:cnfStyle w:val="000000100000"/>
        </w:trPr>
        <w:tc>
          <w:tcPr>
            <w:cnfStyle w:val="001000000000"/>
            <w:tcW w:w="3085" w:type="dxa"/>
            <w:vAlign w:val="center"/>
          </w:tcPr>
          <w:p w:rsidR="00AF0D49" w:rsidRPr="00FD308F" w:rsidRDefault="00456887" w:rsidP="00FD308F">
            <w:pPr>
              <w:spacing w:before="120" w:after="120"/>
            </w:pPr>
            <w:r w:rsidRPr="00FD308F">
              <w:t xml:space="preserve">Indikátor típusa </w:t>
            </w:r>
          </w:p>
        </w:tc>
        <w:tc>
          <w:tcPr>
            <w:tcW w:w="6127" w:type="dxa"/>
            <w:vAlign w:val="center"/>
          </w:tcPr>
          <w:p w:rsidR="00AF0D49" w:rsidRPr="00FD308F" w:rsidRDefault="00456887" w:rsidP="00FD308F">
            <w:pPr>
              <w:spacing w:before="120" w:after="120"/>
              <w:jc w:val="both"/>
              <w:cnfStyle w:val="000000100000"/>
              <w:rPr>
                <w:rFonts w:cs="Century Gothic"/>
                <w:lang w:eastAsia="pl-PL" w:bidi="pl-PL"/>
              </w:rPr>
            </w:pPr>
            <w:r w:rsidRPr="00FD308F">
              <w:rPr>
                <w:rFonts w:cs="Century Gothic"/>
                <w:lang w:eastAsia="pl-PL" w:bidi="pl-PL"/>
              </w:rPr>
              <w:t xml:space="preserve">Folyamatindikátor (kihasználtsági mutató)   </w:t>
            </w:r>
          </w:p>
        </w:tc>
      </w:tr>
      <w:tr w:rsidR="00331034" w:rsidRPr="00FD308F" w:rsidTr="00FD308F">
        <w:tc>
          <w:tcPr>
            <w:cnfStyle w:val="001000000000"/>
            <w:tcW w:w="3085" w:type="dxa"/>
            <w:vAlign w:val="center"/>
          </w:tcPr>
          <w:p w:rsidR="00331034" w:rsidRPr="00FD308F" w:rsidRDefault="00456887" w:rsidP="00FD308F">
            <w:pPr>
              <w:spacing w:before="120" w:after="120"/>
              <w:rPr>
                <w:rFonts w:cs="Arial"/>
                <w:iCs/>
              </w:rPr>
            </w:pPr>
            <w:r w:rsidRPr="00FD308F">
              <w:rPr>
                <w:rFonts w:cs="Arial"/>
                <w:iCs/>
              </w:rPr>
              <w:t>Terület</w:t>
            </w:r>
          </w:p>
        </w:tc>
        <w:tc>
          <w:tcPr>
            <w:tcW w:w="6127" w:type="dxa"/>
            <w:vAlign w:val="center"/>
          </w:tcPr>
          <w:p w:rsidR="00331034" w:rsidRPr="00FD308F" w:rsidRDefault="00456887" w:rsidP="00FD308F">
            <w:pPr>
              <w:spacing w:before="120" w:after="120"/>
              <w:jc w:val="both"/>
              <w:cnfStyle w:val="000000000000"/>
              <w:rPr>
                <w:rFonts w:cs="Century Gothic"/>
                <w:lang w:eastAsia="pl-PL" w:bidi="pl-PL"/>
              </w:rPr>
            </w:pPr>
            <w:r w:rsidRPr="00FD308F">
              <w:rPr>
                <w:rFonts w:cs="Century Gothic"/>
                <w:lang w:eastAsia="pl-PL" w:bidi="pl-PL"/>
              </w:rPr>
              <w:t>Hatékonyság, Betegközpontúság</w:t>
            </w:r>
          </w:p>
        </w:tc>
      </w:tr>
      <w:tr w:rsidR="00AF0D49" w:rsidRPr="00FD308F" w:rsidTr="00FD308F">
        <w:trPr>
          <w:cnfStyle w:val="000000100000"/>
        </w:trPr>
        <w:tc>
          <w:tcPr>
            <w:cnfStyle w:val="001000000000"/>
            <w:tcW w:w="3085" w:type="dxa"/>
            <w:vAlign w:val="center"/>
          </w:tcPr>
          <w:p w:rsidR="00AF0D49" w:rsidRPr="00FD308F" w:rsidRDefault="00456887" w:rsidP="00FD308F">
            <w:pPr>
              <w:spacing w:before="120" w:after="120"/>
            </w:pPr>
            <w:r w:rsidRPr="00FD308F">
              <w:t>Számláló</w:t>
            </w:r>
          </w:p>
        </w:tc>
        <w:tc>
          <w:tcPr>
            <w:tcW w:w="6127" w:type="dxa"/>
            <w:vAlign w:val="center"/>
          </w:tcPr>
          <w:p w:rsidR="00AF0D49" w:rsidRPr="00FD308F" w:rsidRDefault="00456887" w:rsidP="00FD308F">
            <w:pPr>
              <w:spacing w:before="120" w:after="120"/>
              <w:jc w:val="both"/>
              <w:cnfStyle w:val="000000100000"/>
              <w:rPr>
                <w:rFonts w:cs="Century Gothic"/>
                <w:lang w:eastAsia="pl-PL" w:bidi="pl-PL"/>
              </w:rPr>
            </w:pPr>
            <w:r w:rsidRPr="00FD308F">
              <w:rPr>
                <w:rFonts w:cs="Century Gothic"/>
                <w:lang w:eastAsia="pl-PL" w:bidi="pl-PL"/>
              </w:rPr>
              <w:t>A műtőben töltött betegidő összege a személyzet normális rendelkezésre állásának ideje alatt</w:t>
            </w:r>
          </w:p>
        </w:tc>
      </w:tr>
      <w:tr w:rsidR="00AF0D49" w:rsidRPr="00FD308F" w:rsidTr="00FD308F">
        <w:tc>
          <w:tcPr>
            <w:cnfStyle w:val="001000000000"/>
            <w:tcW w:w="3085" w:type="dxa"/>
            <w:vAlign w:val="center"/>
          </w:tcPr>
          <w:p w:rsidR="00AF0D49" w:rsidRPr="00FD308F" w:rsidRDefault="00456887" w:rsidP="00FD308F">
            <w:pPr>
              <w:spacing w:before="120" w:after="120"/>
              <w:rPr>
                <w:rFonts w:cs="Arial"/>
                <w:iCs/>
              </w:rPr>
            </w:pPr>
            <w:r w:rsidRPr="00FD308F">
              <w:rPr>
                <w:rFonts w:cs="Arial"/>
                <w:iCs/>
              </w:rPr>
              <w:t>Nevező</w:t>
            </w:r>
          </w:p>
          <w:p w:rsidR="00AF0D49" w:rsidRPr="00FD308F" w:rsidRDefault="00AF0D49" w:rsidP="00FD308F">
            <w:pPr>
              <w:spacing w:before="120" w:after="120"/>
            </w:pPr>
          </w:p>
        </w:tc>
        <w:tc>
          <w:tcPr>
            <w:tcW w:w="6127" w:type="dxa"/>
            <w:vAlign w:val="center"/>
          </w:tcPr>
          <w:p w:rsidR="00AF0D49" w:rsidRPr="00FD308F" w:rsidRDefault="00456887" w:rsidP="00FD308F">
            <w:pPr>
              <w:spacing w:before="120" w:after="120"/>
              <w:jc w:val="both"/>
              <w:cnfStyle w:val="000000000000"/>
              <w:rPr>
                <w:rFonts w:cs="Century Gothic"/>
                <w:lang w:eastAsia="pl-PL" w:bidi="pl-PL"/>
              </w:rPr>
            </w:pPr>
            <w:r w:rsidRPr="00FD308F">
              <w:rPr>
                <w:rFonts w:cs="Century Gothic"/>
                <w:lang w:eastAsia="pl-PL" w:bidi="pl-PL"/>
              </w:rPr>
              <w:t>A műtőbeli személyzet helyileg tervezett rendelkezésre állásának ideje</w:t>
            </w:r>
          </w:p>
        </w:tc>
      </w:tr>
      <w:tr w:rsidR="00AF0D49" w:rsidRPr="00FD308F" w:rsidTr="00FD308F">
        <w:trPr>
          <w:cnfStyle w:val="000000100000"/>
        </w:trPr>
        <w:tc>
          <w:tcPr>
            <w:cnfStyle w:val="001000000000"/>
            <w:tcW w:w="3085" w:type="dxa"/>
            <w:vAlign w:val="center"/>
          </w:tcPr>
          <w:p w:rsidR="00AF0D49" w:rsidRPr="00FD308F" w:rsidRDefault="00456887" w:rsidP="00FD308F">
            <w:pPr>
              <w:spacing w:before="120" w:after="120"/>
              <w:rPr>
                <w:rFonts w:cs="Arial"/>
                <w:iCs/>
              </w:rPr>
            </w:pPr>
            <w:r w:rsidRPr="00FD308F">
              <w:rPr>
                <w:rFonts w:cs="Arial"/>
                <w:iCs/>
              </w:rPr>
              <w:t>Kizárás</w:t>
            </w:r>
          </w:p>
        </w:tc>
        <w:tc>
          <w:tcPr>
            <w:tcW w:w="6127" w:type="dxa"/>
            <w:vAlign w:val="center"/>
          </w:tcPr>
          <w:p w:rsidR="00456887" w:rsidRPr="00FD308F" w:rsidRDefault="00456887" w:rsidP="00FD308F">
            <w:pPr>
              <w:pStyle w:val="Szvegtrzs"/>
              <w:tabs>
                <w:tab w:val="clear" w:pos="3326"/>
              </w:tabs>
              <w:autoSpaceDE w:val="0"/>
              <w:autoSpaceDN w:val="0"/>
              <w:adjustRightInd w:val="0"/>
              <w:spacing w:before="120" w:line="240" w:lineRule="auto"/>
              <w:cnfStyle w:val="000000100000"/>
              <w:rPr>
                <w:rFonts w:asciiTheme="minorHAnsi" w:hAnsiTheme="minorHAnsi"/>
                <w:sz w:val="22"/>
                <w:lang w:val="hu-HU"/>
              </w:rPr>
            </w:pPr>
            <w:r w:rsidRPr="00FD308F">
              <w:rPr>
                <w:rFonts w:asciiTheme="minorHAnsi" w:hAnsiTheme="minorHAnsi"/>
                <w:sz w:val="22"/>
                <w:lang w:val="hu-HU"/>
              </w:rPr>
              <w:t>Az indikátort csak a központilag irányított műtőhelyiségekre kalkuláljuk</w:t>
            </w:r>
          </w:p>
          <w:p w:rsidR="00456887" w:rsidRPr="00FD308F" w:rsidRDefault="00456887" w:rsidP="00FD308F">
            <w:pPr>
              <w:pStyle w:val="Szvegtrzs"/>
              <w:numPr>
                <w:ilvl w:val="0"/>
                <w:numId w:val="5"/>
              </w:numPr>
              <w:tabs>
                <w:tab w:val="clear" w:pos="3326"/>
              </w:tabs>
              <w:autoSpaceDE w:val="0"/>
              <w:autoSpaceDN w:val="0"/>
              <w:adjustRightInd w:val="0"/>
              <w:spacing w:before="120" w:line="240" w:lineRule="auto"/>
              <w:cnfStyle w:val="000000100000"/>
              <w:rPr>
                <w:rFonts w:asciiTheme="minorHAnsi" w:hAnsiTheme="minorHAnsi" w:cs="Arial"/>
                <w:iCs/>
                <w:sz w:val="22"/>
                <w:lang w:val="hu-HU"/>
              </w:rPr>
            </w:pPr>
            <w:r w:rsidRPr="00FD308F">
              <w:rPr>
                <w:rFonts w:asciiTheme="minorHAnsi" w:hAnsiTheme="minorHAnsi"/>
                <w:sz w:val="22"/>
                <w:lang w:val="hu-HU"/>
              </w:rPr>
              <w:t xml:space="preserve">a (pl. személyzet hiánya miatt) bezárt műtők – mivel a személyzet szokásos rendelkezésre állásának óraszáma nulla, </w:t>
            </w:r>
          </w:p>
          <w:p w:rsidR="00AF0D49" w:rsidRPr="00FD308F" w:rsidRDefault="00456887" w:rsidP="00FD308F">
            <w:pPr>
              <w:pStyle w:val="Szvegtrzs"/>
              <w:numPr>
                <w:ilvl w:val="0"/>
                <w:numId w:val="5"/>
              </w:numPr>
              <w:tabs>
                <w:tab w:val="clear" w:pos="3326"/>
              </w:tabs>
              <w:autoSpaceDE w:val="0"/>
              <w:autoSpaceDN w:val="0"/>
              <w:adjustRightInd w:val="0"/>
              <w:spacing w:before="120" w:line="240" w:lineRule="auto"/>
              <w:cnfStyle w:val="000000100000"/>
              <w:rPr>
                <w:rFonts w:asciiTheme="minorHAnsi" w:hAnsiTheme="minorHAnsi" w:cs="Arial"/>
                <w:iCs/>
                <w:sz w:val="22"/>
                <w:lang w:val="hu-HU"/>
              </w:rPr>
            </w:pPr>
            <w:r w:rsidRPr="00FD308F">
              <w:rPr>
                <w:rFonts w:asciiTheme="minorHAnsi" w:hAnsiTheme="minorHAnsi"/>
                <w:sz w:val="22"/>
                <w:lang w:val="hu-HU"/>
              </w:rPr>
              <w:t>az előkészítő és az ébredő</w:t>
            </w:r>
          </w:p>
        </w:tc>
      </w:tr>
      <w:tr w:rsidR="00AF0D49" w:rsidRPr="00FD308F" w:rsidTr="00FD308F">
        <w:tc>
          <w:tcPr>
            <w:cnfStyle w:val="001000000000"/>
            <w:tcW w:w="3085" w:type="dxa"/>
            <w:vAlign w:val="center"/>
          </w:tcPr>
          <w:p w:rsidR="00AF0D49" w:rsidRPr="00FD308F" w:rsidRDefault="00AF0D49" w:rsidP="00FD308F">
            <w:pPr>
              <w:spacing w:before="120" w:after="120"/>
            </w:pPr>
            <w:r w:rsidRPr="00FD308F">
              <w:t>Dime</w:t>
            </w:r>
            <w:r w:rsidR="00456887" w:rsidRPr="00FD308F">
              <w:t>nzió</w:t>
            </w:r>
          </w:p>
        </w:tc>
        <w:tc>
          <w:tcPr>
            <w:tcW w:w="6127" w:type="dxa"/>
            <w:vAlign w:val="center"/>
          </w:tcPr>
          <w:p w:rsidR="00AF0D49" w:rsidRPr="00FD308F" w:rsidRDefault="00456887" w:rsidP="00FD308F">
            <w:pPr>
              <w:spacing w:before="120" w:after="120"/>
              <w:jc w:val="both"/>
              <w:cnfStyle w:val="000000000000"/>
            </w:pPr>
            <w:r w:rsidRPr="00FD308F">
              <w:t>százalék</w:t>
            </w:r>
          </w:p>
        </w:tc>
      </w:tr>
      <w:tr w:rsidR="00AF0D49" w:rsidRPr="00FD308F" w:rsidTr="00FD308F">
        <w:trPr>
          <w:cnfStyle w:val="000000100000"/>
        </w:trPr>
        <w:tc>
          <w:tcPr>
            <w:cnfStyle w:val="001000000000"/>
            <w:tcW w:w="3085" w:type="dxa"/>
            <w:vAlign w:val="center"/>
          </w:tcPr>
          <w:p w:rsidR="00AF0D49" w:rsidRPr="00FD308F" w:rsidRDefault="00456887" w:rsidP="00FD308F">
            <w:pPr>
              <w:spacing w:before="120" w:after="120"/>
            </w:pPr>
            <w:r w:rsidRPr="00FD308F">
              <w:t>Adatforrás</w:t>
            </w:r>
          </w:p>
          <w:p w:rsidR="00331034" w:rsidRPr="00FD308F" w:rsidRDefault="00331034" w:rsidP="00FD308F">
            <w:pPr>
              <w:spacing w:before="120" w:after="120"/>
            </w:pPr>
          </w:p>
        </w:tc>
        <w:tc>
          <w:tcPr>
            <w:tcW w:w="6127" w:type="dxa"/>
            <w:vAlign w:val="center"/>
          </w:tcPr>
          <w:p w:rsidR="00AF0D49" w:rsidRPr="00FD308F" w:rsidRDefault="004F5600" w:rsidP="00FD308F">
            <w:pPr>
              <w:autoSpaceDE w:val="0"/>
              <w:autoSpaceDN w:val="0"/>
              <w:adjustRightInd w:val="0"/>
              <w:spacing w:before="120" w:after="120"/>
              <w:jc w:val="both"/>
              <w:cnfStyle w:val="000000100000"/>
              <w:rPr>
                <w:rFonts w:cs="Arial"/>
                <w:bCs/>
                <w:lang w:eastAsia="es-ES"/>
              </w:rPr>
            </w:pPr>
            <w:r w:rsidRPr="00FD308F">
              <w:rPr>
                <w:rFonts w:cs="Arial"/>
                <w:bCs/>
                <w:lang w:eastAsia="es-ES"/>
              </w:rPr>
              <w:t xml:space="preserve">Az adatokat </w:t>
            </w:r>
            <w:proofErr w:type="spellStart"/>
            <w:r w:rsidRPr="00FD308F">
              <w:rPr>
                <w:rFonts w:cs="Arial"/>
                <w:bCs/>
                <w:lang w:eastAsia="es-ES"/>
              </w:rPr>
              <w:t>prospektív</w:t>
            </w:r>
            <w:proofErr w:type="spellEnd"/>
            <w:r w:rsidRPr="00FD308F">
              <w:rPr>
                <w:rFonts w:cs="Arial"/>
                <w:bCs/>
                <w:lang w:eastAsia="es-ES"/>
              </w:rPr>
              <w:t xml:space="preserve"> módon gyűjtjük egy hónapon keresztül, három- vagy hathavonta megismételve.</w:t>
            </w:r>
            <w:r w:rsidR="00B97191" w:rsidRPr="00FD308F">
              <w:rPr>
                <w:rFonts w:cs="Arial"/>
                <w:bCs/>
                <w:lang w:eastAsia="es-ES"/>
              </w:rPr>
              <w:t xml:space="preserve"> A munkaszüneti napok időszakát ajánlatos kihagyni a megfigyelési időszakból. : Országos vagy helyi szinten szervezett a megvalósíthatóságtól függően.</w:t>
            </w:r>
          </w:p>
        </w:tc>
      </w:tr>
      <w:tr w:rsidR="00FA079F" w:rsidRPr="00FD308F" w:rsidTr="00FD308F">
        <w:tc>
          <w:tcPr>
            <w:cnfStyle w:val="001000000000"/>
            <w:tcW w:w="3085" w:type="dxa"/>
            <w:vAlign w:val="center"/>
          </w:tcPr>
          <w:p w:rsidR="00FA079F" w:rsidRPr="00FD308F" w:rsidRDefault="00B97191" w:rsidP="00FD308F">
            <w:pPr>
              <w:spacing w:before="120" w:after="120"/>
            </w:pPr>
            <w:r w:rsidRPr="00FD308F">
              <w:t>Minimális esetszám</w:t>
            </w:r>
          </w:p>
        </w:tc>
        <w:tc>
          <w:tcPr>
            <w:tcW w:w="6127" w:type="dxa"/>
            <w:vAlign w:val="center"/>
          </w:tcPr>
          <w:p w:rsidR="00FA079F" w:rsidRPr="00FD308F" w:rsidRDefault="00B97191" w:rsidP="00FD308F">
            <w:pPr>
              <w:spacing w:before="120" w:after="120"/>
              <w:jc w:val="both"/>
              <w:cnfStyle w:val="000000000000"/>
            </w:pPr>
            <w:r w:rsidRPr="00FD308F">
              <w:t xml:space="preserve">nem értelmezhető </w:t>
            </w:r>
          </w:p>
        </w:tc>
      </w:tr>
      <w:tr w:rsidR="00331034" w:rsidRPr="00FD308F" w:rsidTr="00FD308F">
        <w:trPr>
          <w:cnfStyle w:val="000000100000"/>
        </w:trPr>
        <w:tc>
          <w:tcPr>
            <w:cnfStyle w:val="001000000000"/>
            <w:tcW w:w="3085" w:type="dxa"/>
            <w:vAlign w:val="center"/>
          </w:tcPr>
          <w:p w:rsidR="00331034" w:rsidRPr="00FD308F" w:rsidRDefault="00B97191" w:rsidP="00FD308F">
            <w:pPr>
              <w:spacing w:before="120" w:after="120"/>
            </w:pPr>
            <w:proofErr w:type="spellStart"/>
            <w:r w:rsidRPr="00FD308F">
              <w:t>Alindikátorok</w:t>
            </w:r>
            <w:proofErr w:type="spellEnd"/>
          </w:p>
        </w:tc>
        <w:tc>
          <w:tcPr>
            <w:tcW w:w="6127" w:type="dxa"/>
            <w:vAlign w:val="center"/>
          </w:tcPr>
          <w:p w:rsidR="00A9723D" w:rsidRPr="00FD308F" w:rsidRDefault="00B97191" w:rsidP="00FD308F">
            <w:pPr>
              <w:pStyle w:val="Listaszerbekezds"/>
              <w:numPr>
                <w:ilvl w:val="0"/>
                <w:numId w:val="4"/>
              </w:numPr>
              <w:spacing w:before="120" w:after="120"/>
              <w:jc w:val="both"/>
              <w:cnfStyle w:val="000000100000"/>
            </w:pPr>
            <w:r w:rsidRPr="00FD308F">
              <w:t>műtéti kihasználtsági arány</w:t>
            </w:r>
          </w:p>
          <w:p w:rsidR="00FE3509" w:rsidRPr="00FD308F" w:rsidRDefault="00B97191" w:rsidP="00FD308F">
            <w:pPr>
              <w:pStyle w:val="Listaszerbekezds"/>
              <w:numPr>
                <w:ilvl w:val="0"/>
                <w:numId w:val="4"/>
              </w:numPr>
              <w:spacing w:before="120" w:after="120"/>
              <w:jc w:val="both"/>
              <w:cnfStyle w:val="000000100000"/>
            </w:pPr>
            <w:r w:rsidRPr="00FD308F">
              <w:t>átlagos műtőben töltött idő</w:t>
            </w:r>
          </w:p>
          <w:p w:rsidR="00FE3509" w:rsidRPr="00FD308F" w:rsidRDefault="00B97191" w:rsidP="00FD308F">
            <w:pPr>
              <w:pStyle w:val="Listaszerbekezds"/>
              <w:numPr>
                <w:ilvl w:val="0"/>
                <w:numId w:val="4"/>
              </w:numPr>
              <w:spacing w:before="120" w:after="120"/>
              <w:jc w:val="both"/>
              <w:cnfStyle w:val="000000100000"/>
            </w:pPr>
            <w:r w:rsidRPr="00FD308F">
              <w:t>átlagos anesztéziában töltött idő</w:t>
            </w:r>
          </w:p>
          <w:p w:rsidR="00FE3509" w:rsidRPr="00FD308F" w:rsidRDefault="00B97191" w:rsidP="00FD308F">
            <w:pPr>
              <w:pStyle w:val="Listaszerbekezds"/>
              <w:numPr>
                <w:ilvl w:val="0"/>
                <w:numId w:val="4"/>
              </w:numPr>
              <w:spacing w:before="120" w:after="120"/>
              <w:jc w:val="both"/>
              <w:cnfStyle w:val="000000100000"/>
            </w:pPr>
            <w:r w:rsidRPr="00FD308F">
              <w:t>átlagos műtéti idő</w:t>
            </w:r>
          </w:p>
          <w:p w:rsidR="00B97191" w:rsidRPr="00FD308F" w:rsidRDefault="00B97191" w:rsidP="00FD308F">
            <w:pPr>
              <w:pStyle w:val="Listaszerbekezds"/>
              <w:numPr>
                <w:ilvl w:val="0"/>
                <w:numId w:val="4"/>
              </w:numPr>
              <w:spacing w:before="120" w:after="120"/>
              <w:jc w:val="both"/>
              <w:cnfStyle w:val="000000100000"/>
            </w:pPr>
            <w:r w:rsidRPr="00FD308F">
              <w:t>átlagos műtét előtti idő</w:t>
            </w:r>
          </w:p>
          <w:p w:rsidR="00FE3509" w:rsidRPr="00FD308F" w:rsidRDefault="00B97191" w:rsidP="00FD308F">
            <w:pPr>
              <w:pStyle w:val="Listaszerbekezds"/>
              <w:numPr>
                <w:ilvl w:val="0"/>
                <w:numId w:val="4"/>
              </w:numPr>
              <w:spacing w:before="120" w:after="120"/>
              <w:jc w:val="both"/>
              <w:cnfStyle w:val="000000100000"/>
            </w:pPr>
            <w:r w:rsidRPr="00FD308F">
              <w:t>túlórás napok száma</w:t>
            </w:r>
          </w:p>
          <w:p w:rsidR="00FE3509" w:rsidRPr="00FD308F" w:rsidRDefault="00B97191" w:rsidP="00FD308F">
            <w:pPr>
              <w:pStyle w:val="Listaszerbekezds"/>
              <w:numPr>
                <w:ilvl w:val="0"/>
                <w:numId w:val="4"/>
              </w:numPr>
              <w:spacing w:before="120" w:after="120"/>
              <w:jc w:val="both"/>
              <w:cnfStyle w:val="000000100000"/>
            </w:pPr>
            <w:r w:rsidRPr="00FD308F">
              <w:t>átlagos túlóra</w:t>
            </w:r>
          </w:p>
          <w:p w:rsidR="00FE3509" w:rsidRPr="00FD308F" w:rsidRDefault="00B97191" w:rsidP="00FD308F">
            <w:pPr>
              <w:pStyle w:val="Listaszerbekezds"/>
              <w:numPr>
                <w:ilvl w:val="0"/>
                <w:numId w:val="4"/>
              </w:numPr>
              <w:spacing w:before="120" w:after="120"/>
              <w:jc w:val="both"/>
              <w:cnfStyle w:val="000000100000"/>
            </w:pPr>
            <w:r w:rsidRPr="00FD308F">
              <w:lastRenderedPageBreak/>
              <w:t>átlagos túlóra a túlórás napokon</w:t>
            </w:r>
          </w:p>
        </w:tc>
      </w:tr>
      <w:tr w:rsidR="00331034" w:rsidRPr="00FD308F" w:rsidTr="00FD308F">
        <w:tc>
          <w:tcPr>
            <w:cnfStyle w:val="001000000000"/>
            <w:tcW w:w="3085" w:type="dxa"/>
            <w:vAlign w:val="center"/>
          </w:tcPr>
          <w:p w:rsidR="00331034" w:rsidRPr="00FD308F" w:rsidRDefault="0037142A" w:rsidP="00FD308F">
            <w:pPr>
              <w:spacing w:before="120" w:after="120"/>
            </w:pPr>
            <w:r w:rsidRPr="00FD308F">
              <w:lastRenderedPageBreak/>
              <w:t>Kiegyenlítés/ rétegezés</w:t>
            </w:r>
          </w:p>
        </w:tc>
        <w:tc>
          <w:tcPr>
            <w:tcW w:w="6127" w:type="dxa"/>
            <w:vAlign w:val="center"/>
          </w:tcPr>
          <w:p w:rsidR="00331034" w:rsidRPr="00FD308F" w:rsidRDefault="00A9723D" w:rsidP="00FD308F">
            <w:pPr>
              <w:spacing w:before="120" w:after="120"/>
              <w:jc w:val="both"/>
              <w:cnfStyle w:val="000000000000"/>
            </w:pPr>
            <w:r w:rsidRPr="00FD308F">
              <w:t>-</w:t>
            </w:r>
          </w:p>
        </w:tc>
      </w:tr>
      <w:tr w:rsidR="00331034" w:rsidRPr="00FD308F" w:rsidTr="00FD308F">
        <w:trPr>
          <w:cnfStyle w:val="000000100000"/>
        </w:trPr>
        <w:tc>
          <w:tcPr>
            <w:cnfStyle w:val="001000000000"/>
            <w:tcW w:w="3085" w:type="dxa"/>
            <w:vAlign w:val="center"/>
          </w:tcPr>
          <w:p w:rsidR="00331034" w:rsidRPr="00FD308F" w:rsidRDefault="0037142A" w:rsidP="00FD308F">
            <w:pPr>
              <w:spacing w:before="120" w:after="120"/>
            </w:pPr>
            <w:r w:rsidRPr="00FD308F">
              <w:t>Értelmezés</w:t>
            </w:r>
          </w:p>
        </w:tc>
        <w:tc>
          <w:tcPr>
            <w:tcW w:w="6127" w:type="dxa"/>
            <w:vAlign w:val="center"/>
          </w:tcPr>
          <w:p w:rsidR="0037142A" w:rsidRPr="00FD308F" w:rsidRDefault="00B97191" w:rsidP="00FD308F">
            <w:pPr>
              <w:spacing w:before="120" w:after="120"/>
              <w:jc w:val="both"/>
              <w:cnfStyle w:val="000000100000"/>
            </w:pPr>
            <w:r w:rsidRPr="00FD308F">
              <w:t>A magasabb kihasználtsági arány a jobb. Bár a különösen magas arány felvetheti a sürgősségi esetek hozzáférésének kérdését.</w:t>
            </w:r>
            <w:r w:rsidR="0037142A" w:rsidRPr="00FD308F">
              <w:t xml:space="preserve"> Az Ausztrál Nemzeti Demonstrációs Program a műtők 80-85%-os kihasználtsági arányát célozta meg és felülmúlta ezt a célkitűzést.</w:t>
            </w:r>
          </w:p>
          <w:p w:rsidR="00B97191" w:rsidRPr="00FD308F" w:rsidRDefault="00B97191" w:rsidP="00FD308F">
            <w:pPr>
              <w:spacing w:before="120" w:after="120"/>
              <w:jc w:val="both"/>
              <w:cnfStyle w:val="000000100000"/>
            </w:pPr>
          </w:p>
          <w:p w:rsidR="0037142A" w:rsidRPr="00FD308F" w:rsidRDefault="0037142A" w:rsidP="00FD308F">
            <w:pPr>
              <w:spacing w:before="120" w:after="120"/>
              <w:jc w:val="both"/>
              <w:cnfStyle w:val="000000100000"/>
            </w:pPr>
            <w:r w:rsidRPr="00FD308F">
              <w:t xml:space="preserve">A kórházi minőségfejlesztésre hosszabb távon alkalmas indikátor. </w:t>
            </w:r>
          </w:p>
          <w:p w:rsidR="00331034" w:rsidRPr="00FD308F" w:rsidRDefault="0037142A" w:rsidP="00FD308F">
            <w:pPr>
              <w:autoSpaceDE w:val="0"/>
              <w:autoSpaceDN w:val="0"/>
              <w:adjustRightInd w:val="0"/>
              <w:spacing w:beforeLines="120" w:afterLines="120"/>
              <w:jc w:val="both"/>
              <w:cnfStyle w:val="000000100000"/>
            </w:pPr>
            <w:r w:rsidRPr="00FD308F">
              <w:t xml:space="preserve">A számított mutató a műtőhelyiség </w:t>
            </w:r>
            <w:proofErr w:type="spellStart"/>
            <w:r w:rsidRPr="00FD308F">
              <w:t>kihasználtáságát</w:t>
            </w:r>
            <w:proofErr w:type="spellEnd"/>
            <w:r w:rsidRPr="00FD308F">
              <w:t xml:space="preserve"> mutatja, ami eltérhet a műtőszemélyzet kihasználtságától. (pl. egy személyzet több </w:t>
            </w:r>
            <w:r w:rsidR="00CA59CA" w:rsidRPr="00FD308F">
              <w:t>műtőhelyiségben</w:t>
            </w:r>
            <w:r w:rsidRPr="00FD308F">
              <w:t xml:space="preserve">)  </w:t>
            </w:r>
            <w:proofErr w:type="gramStart"/>
            <w:r w:rsidRPr="00FD308F">
              <w:t>A</w:t>
            </w:r>
            <w:proofErr w:type="gramEnd"/>
            <w:r w:rsidRPr="00FD308F">
              <w:t xml:space="preserve"> műtőszemélyzet kihasználtságának számításához a helyi munkarend és beosztás készítésének  ismerete szükséges.  </w:t>
            </w:r>
          </w:p>
        </w:tc>
      </w:tr>
      <w:tr w:rsidR="00331034" w:rsidRPr="00FD308F" w:rsidTr="00FD308F">
        <w:tc>
          <w:tcPr>
            <w:cnfStyle w:val="001000000000"/>
            <w:tcW w:w="3085" w:type="dxa"/>
            <w:vAlign w:val="center"/>
          </w:tcPr>
          <w:p w:rsidR="00331034" w:rsidRPr="00FD308F" w:rsidRDefault="0037142A" w:rsidP="00FD308F">
            <w:pPr>
              <w:spacing w:before="120" w:after="120"/>
            </w:pPr>
            <w:r w:rsidRPr="00FD308F">
              <w:t>Kódok/definíciók</w:t>
            </w:r>
          </w:p>
        </w:tc>
        <w:tc>
          <w:tcPr>
            <w:tcW w:w="6127" w:type="dxa"/>
            <w:vAlign w:val="center"/>
          </w:tcPr>
          <w:p w:rsidR="00CA59CA" w:rsidRPr="00FD308F" w:rsidRDefault="00CA59CA" w:rsidP="00FD308F">
            <w:pPr>
              <w:spacing w:before="120" w:after="120"/>
              <w:jc w:val="both"/>
              <w:cnfStyle w:val="000000000000"/>
              <w:rPr>
                <w:rFonts w:cs="Century Gothic"/>
                <w:lang w:eastAsia="pl-PL" w:bidi="pl-PL"/>
              </w:rPr>
            </w:pPr>
            <w:r w:rsidRPr="00FD308F">
              <w:rPr>
                <w:rFonts w:cs="Century Gothic"/>
                <w:b/>
                <w:lang w:eastAsia="pl-PL" w:bidi="pl-PL"/>
              </w:rPr>
              <w:t>A műtő</w:t>
            </w:r>
            <w:r w:rsidRPr="00FD308F">
              <w:rPr>
                <w:rFonts w:cs="Century Gothic"/>
                <w:lang w:eastAsia="pl-PL" w:bidi="pl-PL"/>
              </w:rPr>
              <w:t>: az a terem, ahol sebészeti eljárásokat végeznek anesztézia mellett</w:t>
            </w:r>
          </w:p>
          <w:p w:rsidR="0037142A" w:rsidRPr="00FD308F" w:rsidRDefault="0037142A" w:rsidP="00FD308F">
            <w:pPr>
              <w:spacing w:before="120" w:after="120"/>
              <w:jc w:val="both"/>
              <w:cnfStyle w:val="000000000000"/>
            </w:pPr>
            <w:r w:rsidRPr="00FD308F">
              <w:rPr>
                <w:b/>
              </w:rPr>
              <w:t>Műtéti kihasználtsági arány:</w:t>
            </w:r>
            <w:r w:rsidRPr="00FD308F">
              <w:t xml:space="preserve"> </w:t>
            </w:r>
            <w:r w:rsidRPr="00FD308F">
              <w:rPr>
                <w:rFonts w:cs="Century Gothic"/>
                <w:lang w:eastAsia="pl-PL" w:bidi="pl-PL"/>
              </w:rPr>
              <w:t>A m</w:t>
            </w:r>
            <w:r w:rsidR="00FD308F">
              <w:rPr>
                <w:rFonts w:cs="Century Gothic"/>
                <w:lang w:eastAsia="pl-PL" w:bidi="pl-PL"/>
              </w:rPr>
              <w:t>űtéti idők aránya személyzet normális</w:t>
            </w:r>
            <w:r w:rsidRPr="00FD308F">
              <w:rPr>
                <w:rFonts w:cs="Century Gothic"/>
                <w:lang w:eastAsia="pl-PL" w:bidi="pl-PL"/>
              </w:rPr>
              <w:t xml:space="preserve"> rendelkezésre állásának ideje alatt</w:t>
            </w:r>
          </w:p>
          <w:p w:rsidR="00FE3509" w:rsidRPr="00FD308F" w:rsidRDefault="0037142A" w:rsidP="00FD308F">
            <w:pPr>
              <w:spacing w:before="120" w:after="120"/>
              <w:jc w:val="both"/>
              <w:cnfStyle w:val="000000000000"/>
            </w:pPr>
            <w:r w:rsidRPr="00FD308F">
              <w:rPr>
                <w:b/>
              </w:rPr>
              <w:t>Túlóra</w:t>
            </w:r>
            <w:r w:rsidR="00FE3509" w:rsidRPr="00FD308F">
              <w:t>:</w:t>
            </w:r>
            <w:r w:rsidR="00FD308F">
              <w:t xml:space="preserve"> a műtő normá</w:t>
            </w:r>
            <w:r w:rsidRPr="00FD308F">
              <w:t>l zárási ideje után a műtőben töltött idő</w:t>
            </w:r>
          </w:p>
          <w:p w:rsidR="0037142A" w:rsidRPr="00FD308F" w:rsidRDefault="0037142A" w:rsidP="00FD308F">
            <w:pPr>
              <w:spacing w:before="120" w:after="120"/>
              <w:jc w:val="both"/>
              <w:cnfStyle w:val="000000000000"/>
            </w:pPr>
            <w:r w:rsidRPr="00FD308F">
              <w:rPr>
                <w:b/>
              </w:rPr>
              <w:t>Átlagos túlóra</w:t>
            </w:r>
            <w:r w:rsidR="004D42FF" w:rsidRPr="00FD308F">
              <w:rPr>
                <w:b/>
              </w:rPr>
              <w:t>:</w:t>
            </w:r>
            <w:r w:rsidR="00FD308F">
              <w:rPr>
                <w:b/>
              </w:rPr>
              <w:t xml:space="preserve"> </w:t>
            </w:r>
            <w:r w:rsidRPr="00FD308F">
              <w:t>a túlórák összege percekben a megfigyelési időszak alatt/ a megfigyelési időszak működési (</w:t>
            </w:r>
            <w:proofErr w:type="spellStart"/>
            <w:r w:rsidRPr="00FD308F">
              <w:t>staffed</w:t>
            </w:r>
            <w:proofErr w:type="spellEnd"/>
            <w:r w:rsidRPr="00FD308F">
              <w:t xml:space="preserve">) napjainak teljes száma </w:t>
            </w:r>
          </w:p>
          <w:p w:rsidR="0037142A" w:rsidRPr="00FD308F" w:rsidRDefault="0037142A" w:rsidP="00FD308F">
            <w:pPr>
              <w:autoSpaceDE w:val="0"/>
              <w:autoSpaceDN w:val="0"/>
              <w:adjustRightInd w:val="0"/>
              <w:spacing w:before="120" w:after="120"/>
              <w:jc w:val="both"/>
              <w:cnfStyle w:val="000000000000"/>
            </w:pPr>
            <w:r w:rsidRPr="00FD308F">
              <w:rPr>
                <w:b/>
              </w:rPr>
              <w:t>Anesztézia kezdete</w:t>
            </w:r>
            <w:r w:rsidRPr="00FD308F">
              <w:t>: onnantól kezdve, amikor az aneszteziológusok ténylegesen belefognak az eset szempontjából lényeges tevékenységbe, pl. a gyógyszer felszívása, a gépek ellenőrzése stb.</w:t>
            </w:r>
          </w:p>
          <w:p w:rsidR="0037142A" w:rsidRPr="00FD308F" w:rsidRDefault="0037142A" w:rsidP="00FD308F">
            <w:pPr>
              <w:autoSpaceDE w:val="0"/>
              <w:autoSpaceDN w:val="0"/>
              <w:adjustRightInd w:val="0"/>
              <w:spacing w:before="120" w:after="120"/>
              <w:jc w:val="both"/>
              <w:cnfStyle w:val="000000000000"/>
            </w:pPr>
            <w:r w:rsidRPr="00FD308F">
              <w:rPr>
                <w:b/>
              </w:rPr>
              <w:t>Műtét kezdete:</w:t>
            </w:r>
            <w:r w:rsidRPr="00FD308F">
              <w:t xml:space="preserve"> onnantól kezdve, amikor a bőr előkészítése megkezdődik</w:t>
            </w:r>
            <w:r w:rsidR="00FD308F">
              <w:t>,</w:t>
            </w:r>
            <w:r w:rsidRPr="00FD308F">
              <w:t xml:space="preserve"> vagy amikor a beteget speciális pozícióba helyezik, amelyik előbb megtörténik,</w:t>
            </w:r>
          </w:p>
          <w:p w:rsidR="00FE3509" w:rsidRPr="00FD308F" w:rsidRDefault="0037142A" w:rsidP="00FD308F">
            <w:pPr>
              <w:autoSpaceDE w:val="0"/>
              <w:autoSpaceDN w:val="0"/>
              <w:adjustRightInd w:val="0"/>
              <w:spacing w:before="120" w:after="120"/>
              <w:jc w:val="both"/>
              <w:cnfStyle w:val="000000000000"/>
              <w:rPr>
                <w:rFonts w:cs="Arial"/>
                <w:bCs/>
              </w:rPr>
            </w:pPr>
            <w:r w:rsidRPr="00FD308F">
              <w:rPr>
                <w:b/>
              </w:rPr>
              <w:t>Műtét vége</w:t>
            </w:r>
            <w:r w:rsidRPr="00FD308F">
              <w:t>: a műtét befejezettnek tekinthető, amikor a kötést felrakják</w:t>
            </w:r>
          </w:p>
        </w:tc>
      </w:tr>
    </w:tbl>
    <w:p w:rsidR="00AF0D49" w:rsidRPr="00FD308F" w:rsidRDefault="00AF0D49" w:rsidP="001A72B8"/>
    <w:sectPr w:rsidR="00AF0D49" w:rsidRPr="00FD308F" w:rsidSect="00C86E5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6A03" w:rsidRDefault="005B6A03" w:rsidP="00AF0D49">
      <w:pPr>
        <w:spacing w:after="0" w:line="240" w:lineRule="auto"/>
      </w:pPr>
      <w:r>
        <w:separator/>
      </w:r>
    </w:p>
  </w:endnote>
  <w:endnote w:type="continuationSeparator" w:id="0">
    <w:p w:rsidR="005B6A03" w:rsidRDefault="005B6A03" w:rsidP="00AF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9628395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F435BD" w:rsidRDefault="001354FF">
            <w:pPr>
              <w:pStyle w:val="llb"/>
            </w:pPr>
            <w:r>
              <w:rPr>
                <w:b/>
                <w:sz w:val="24"/>
                <w:szCs w:val="24"/>
              </w:rPr>
              <w:fldChar w:fldCharType="begin"/>
            </w:r>
            <w:r w:rsidR="00F435BD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D308F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 w:rsidR="00F435BD"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F435BD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D308F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435BD" w:rsidRDefault="00F435BD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6A03" w:rsidRDefault="005B6A03" w:rsidP="00AF0D49">
      <w:pPr>
        <w:spacing w:after="0" w:line="240" w:lineRule="auto"/>
      </w:pPr>
      <w:r>
        <w:separator/>
      </w:r>
    </w:p>
  </w:footnote>
  <w:footnote w:type="continuationSeparator" w:id="0">
    <w:p w:rsidR="005B6A03" w:rsidRDefault="005B6A03" w:rsidP="00AF0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30626"/>
    <w:multiLevelType w:val="hybridMultilevel"/>
    <w:tmpl w:val="AC40B9E0"/>
    <w:lvl w:ilvl="0" w:tplc="268AFD36">
      <w:start w:val="6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C7496A"/>
    <w:multiLevelType w:val="hybridMultilevel"/>
    <w:tmpl w:val="0784C2B8"/>
    <w:lvl w:ilvl="0" w:tplc="FCDE88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0EB4671"/>
    <w:multiLevelType w:val="hybridMultilevel"/>
    <w:tmpl w:val="8B1071F8"/>
    <w:lvl w:ilvl="0" w:tplc="A13A99B0">
      <w:start w:val="1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D5B4D"/>
    <w:multiLevelType w:val="hybridMultilevel"/>
    <w:tmpl w:val="7BFA9642"/>
    <w:lvl w:ilvl="0" w:tplc="B0180C1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7FB3A31"/>
    <w:multiLevelType w:val="hybridMultilevel"/>
    <w:tmpl w:val="699E5542"/>
    <w:lvl w:ilvl="0" w:tplc="5FC0CE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912"/>
        </w:tabs>
        <w:ind w:left="91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632"/>
        </w:tabs>
        <w:ind w:left="163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352"/>
        </w:tabs>
        <w:ind w:left="235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072"/>
        </w:tabs>
        <w:ind w:left="307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792"/>
        </w:tabs>
        <w:ind w:left="379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512"/>
        </w:tabs>
        <w:ind w:left="451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232"/>
        </w:tabs>
        <w:ind w:left="523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952"/>
        </w:tabs>
        <w:ind w:left="59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0D49"/>
    <w:rsid w:val="0003425B"/>
    <w:rsid w:val="0008433C"/>
    <w:rsid w:val="000F239B"/>
    <w:rsid w:val="001354FF"/>
    <w:rsid w:val="001A72B8"/>
    <w:rsid w:val="001B06CA"/>
    <w:rsid w:val="001E3609"/>
    <w:rsid w:val="001E456C"/>
    <w:rsid w:val="00331034"/>
    <w:rsid w:val="0036564F"/>
    <w:rsid w:val="0037142A"/>
    <w:rsid w:val="003E5463"/>
    <w:rsid w:val="0043441A"/>
    <w:rsid w:val="00456887"/>
    <w:rsid w:val="00457CFD"/>
    <w:rsid w:val="004D42FF"/>
    <w:rsid w:val="004E3117"/>
    <w:rsid w:val="004F5600"/>
    <w:rsid w:val="00511958"/>
    <w:rsid w:val="005228D5"/>
    <w:rsid w:val="005805DA"/>
    <w:rsid w:val="00596AF5"/>
    <w:rsid w:val="005A7FD6"/>
    <w:rsid w:val="005B6A03"/>
    <w:rsid w:val="005D394B"/>
    <w:rsid w:val="00637C23"/>
    <w:rsid w:val="00682BEA"/>
    <w:rsid w:val="006870DE"/>
    <w:rsid w:val="006E397D"/>
    <w:rsid w:val="00712D89"/>
    <w:rsid w:val="00724762"/>
    <w:rsid w:val="007366EF"/>
    <w:rsid w:val="007D2FBA"/>
    <w:rsid w:val="00862E68"/>
    <w:rsid w:val="008F237E"/>
    <w:rsid w:val="00932643"/>
    <w:rsid w:val="00944C98"/>
    <w:rsid w:val="00986C88"/>
    <w:rsid w:val="00996456"/>
    <w:rsid w:val="00A246FD"/>
    <w:rsid w:val="00A9723D"/>
    <w:rsid w:val="00AA239F"/>
    <w:rsid w:val="00AF0D49"/>
    <w:rsid w:val="00B232B5"/>
    <w:rsid w:val="00B30D1D"/>
    <w:rsid w:val="00B34FC4"/>
    <w:rsid w:val="00B37C02"/>
    <w:rsid w:val="00B97191"/>
    <w:rsid w:val="00BC6EF9"/>
    <w:rsid w:val="00C22F6E"/>
    <w:rsid w:val="00C86E5B"/>
    <w:rsid w:val="00CA59CA"/>
    <w:rsid w:val="00D2504E"/>
    <w:rsid w:val="00D50719"/>
    <w:rsid w:val="00DC451F"/>
    <w:rsid w:val="00E21C5A"/>
    <w:rsid w:val="00E304C3"/>
    <w:rsid w:val="00E45A50"/>
    <w:rsid w:val="00E6069E"/>
    <w:rsid w:val="00F32BEA"/>
    <w:rsid w:val="00F435BD"/>
    <w:rsid w:val="00F57669"/>
    <w:rsid w:val="00F70CE1"/>
    <w:rsid w:val="00F76DB2"/>
    <w:rsid w:val="00FA079F"/>
    <w:rsid w:val="00FD308F"/>
    <w:rsid w:val="00FD42B6"/>
    <w:rsid w:val="00FE2D68"/>
    <w:rsid w:val="00FE3509"/>
    <w:rsid w:val="00FF1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6E5B"/>
  </w:style>
  <w:style w:type="paragraph" w:styleId="Cmsor1">
    <w:name w:val="heading 1"/>
    <w:basedOn w:val="Norml"/>
    <w:next w:val="Norml"/>
    <w:link w:val="Cmsor1Char"/>
    <w:uiPriority w:val="9"/>
    <w:qFormat/>
    <w:rsid w:val="00AF0D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76D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sthead">
    <w:name w:val="Masthead"/>
    <w:basedOn w:val="Norml"/>
    <w:rsid w:val="00AF0D49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pl-PL" w:eastAsia="pl-PL" w:bidi="pl-PL"/>
    </w:rPr>
  </w:style>
  <w:style w:type="paragraph" w:styleId="lfej">
    <w:name w:val="header"/>
    <w:basedOn w:val="Norml"/>
    <w:link w:val="lfejChar"/>
    <w:uiPriority w:val="99"/>
    <w:semiHidden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F0D49"/>
  </w:style>
  <w:style w:type="paragraph" w:styleId="llb">
    <w:name w:val="footer"/>
    <w:basedOn w:val="Norml"/>
    <w:link w:val="llbChar"/>
    <w:uiPriority w:val="99"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F0D49"/>
  </w:style>
  <w:style w:type="paragraph" w:styleId="Buborkszveg">
    <w:name w:val="Balloon Text"/>
    <w:basedOn w:val="Norml"/>
    <w:link w:val="BuborkszvegChar"/>
    <w:uiPriority w:val="99"/>
    <w:semiHidden/>
    <w:unhideWhenUsed/>
    <w:rsid w:val="00AF0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F0D49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AF0D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Rcsostblzat">
    <w:name w:val="Table Grid"/>
    <w:basedOn w:val="Normltblzat"/>
    <w:uiPriority w:val="59"/>
    <w:rsid w:val="00AF0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Vilgoslista1jellszn1">
    <w:name w:val="Világos lista – 1. jelölőszín1"/>
    <w:basedOn w:val="Normltblzat"/>
    <w:uiPriority w:val="61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Kzepesrnykols21jellszn1">
    <w:name w:val="Közepes árnyékolás 2 – 1. jelölőszín1"/>
    <w:basedOn w:val="Normltblzat"/>
    <w:uiPriority w:val="64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aszerbekezds">
    <w:name w:val="List Paragraph"/>
    <w:basedOn w:val="Norml"/>
    <w:uiPriority w:val="34"/>
    <w:qFormat/>
    <w:rsid w:val="00A9723D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F76D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zvegtrzsChar">
    <w:name w:val="Szövegtörzs Char"/>
    <w:basedOn w:val="Bekezdsalapbettpusa"/>
    <w:link w:val="Szvegtrzs"/>
    <w:locked/>
    <w:rsid w:val="00FE3509"/>
    <w:rPr>
      <w:rFonts w:ascii="Century Gothic" w:hAnsi="Century Gothic" w:cs="Century Gothic"/>
      <w:sz w:val="17"/>
      <w:lang w:val="pl-PL" w:eastAsia="pl-PL" w:bidi="pl-PL"/>
    </w:rPr>
  </w:style>
  <w:style w:type="paragraph" w:styleId="Szvegtrzs">
    <w:name w:val="Body Text"/>
    <w:basedOn w:val="Norml"/>
    <w:link w:val="SzvegtrzsChar"/>
    <w:rsid w:val="00FE3509"/>
    <w:pPr>
      <w:tabs>
        <w:tab w:val="left" w:pos="3326"/>
      </w:tabs>
      <w:spacing w:after="120" w:line="260" w:lineRule="atLeast"/>
      <w:jc w:val="both"/>
    </w:pPr>
    <w:rPr>
      <w:rFonts w:ascii="Century Gothic" w:hAnsi="Century Gothic" w:cs="Century Gothic"/>
      <w:sz w:val="17"/>
      <w:lang w:val="pl-PL" w:eastAsia="pl-PL" w:bidi="pl-PL"/>
    </w:rPr>
  </w:style>
  <w:style w:type="character" w:customStyle="1" w:styleId="SzvegtrzsChar1">
    <w:name w:val="Szövegtörzs Char1"/>
    <w:basedOn w:val="Bekezdsalapbettpusa"/>
    <w:link w:val="Szvegtrzs"/>
    <w:uiPriority w:val="99"/>
    <w:semiHidden/>
    <w:rsid w:val="00FE35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349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SE</Company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Judit</dc:creator>
  <cp:lastModifiedBy>Surján Cecília</cp:lastModifiedBy>
  <cp:revision>5</cp:revision>
  <dcterms:created xsi:type="dcterms:W3CDTF">2012-11-23T10:33:00Z</dcterms:created>
  <dcterms:modified xsi:type="dcterms:W3CDTF">2012-11-26T14:13:00Z</dcterms:modified>
</cp:coreProperties>
</file>