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106.png" ContentType="image/png"/>
  <Override PartName="/word/media/rId97.png" ContentType="image/png"/>
  <Override PartName="/word/media/rId80.png" ContentType="image/png"/>
  <Override PartName="/word/media/rId62.png" ContentType="image/png"/>
  <Override PartName="/word/media/rId58.png" ContentType="image/png"/>
  <Override PartName="/word/media/rId93.png" ContentType="image/png"/>
  <Override PartName="/word/media/rId76.png" ContentType="image/png"/>
  <Override PartName="/word/media/rId54.png" ContentType="image/png"/>
  <Override PartName="/word/media/rId89.png" ContentType="image/png"/>
  <Override PartName="/word/media/rId72.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2024-11-12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rPr>
          <w:i/>
          <w:iCs/>
        </w:rPr>
        <w:t xml:space="preserve">“</w:t>
      </w: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rPr>
          <w:i/>
          <w:iCs/>
        </w:rPr>
        <w:t xml:space="preserve"> </w:t>
      </w:r>
      <m:oMath>
        <m:r>
          <m:t>m</m:t>
        </m:r>
        <m:sSup>
          <m:e>
            <m:r>
              <m:t>m</m:t>
            </m:r>
          </m:e>
          <m:sup>
            <m:r>
              <m:t>2</m:t>
            </m:r>
          </m:sup>
        </m:sSup>
      </m:oMath>
      <w:r>
        <w:rPr>
          <w:i/>
          <w:iCs/>
        </w:rPr>
        <w:t xml:space="preserve"> </w:t>
      </w:r>
      <w:r>
        <w:rPr>
          <w:i/>
          <w:iCs/>
        </w:rPr>
        <w:t xml:space="preserve">de área.</w:t>
      </w:r>
      <w:r>
        <w:rPr>
          <w:i/>
          <w:iCs/>
        </w:rP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sec-ReprDados"/>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7"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3"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42"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Veja uma aplicação do Estimador de Kaplan-Meier. Os dados dispostos no Apêndice (*) do livro de Análise de Sobrevivência Aplicado, de Enrico e Giolo.</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"survival"</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"survival"</w:t>
      </w:r>
      <w:r>
        <w:rPr>
          <w:rStyle w:val="NormalTok"/>
        </w:rPr>
        <w:t xml:space="preserve">)</w:t>
      </w:r>
      <w:r>
        <w:br/>
      </w:r>
      <w:r>
        <w:rPr>
          <w:rStyle w:val="NormalTok"/>
        </w:rPr>
        <w:t xml:space="preserve">}</w:t>
      </w:r>
    </w:p>
    <w:p>
      <w:pPr>
        <w:pStyle w:val="SourceCode"/>
      </w:pPr>
      <w:r>
        <w:rPr>
          <w:rStyle w:val="VerbatimChar"/>
        </w:rPr>
        <w:t xml:space="preserve">Carregando pacotes exigidos: survival</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p>
    <w:p>
      <w:pPr>
        <w:pStyle w:val="SourceCode"/>
      </w:pPr>
      <w:r>
        <w:rPr>
          <w:rStyle w:val="VerbatimChar"/>
        </w:rPr>
        <w:t xml:space="preserve">Carregando pacotes exigidos: ggplot2</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ekm</w:t>
      </w:r>
      <w:r>
        <w:rPr>
          <w:rStyle w:val="SpecialCharTok"/>
        </w:rPr>
        <w:t xml:space="preserve">$</w:t>
      </w:r>
      <w:r>
        <w:rPr>
          <w:rStyle w:val="NormalTok"/>
        </w:rPr>
        <w:t xml:space="preserve">time,</w:t>
      </w:r>
      <w:r>
        <w:br/>
      </w:r>
      <w:r>
        <w:rPr>
          <w:rStyle w:val="NormalTok"/>
        </w:rPr>
        <w:t xml:space="preserv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w:t>
      </w:r>
      <w:r>
        <w:br/>
      </w:r>
      <w:r>
        <w:rPr>
          <w:rStyle w:val="NormalTok"/>
        </w:rPr>
        <w:t xml:space="preserve">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rPr>
          <w:rStyle w:val="NormalTok"/>
        </w:rPr>
        <w:t xml:space="preserve">)</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"Curva de Sobrevivência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Dados de leucemia"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0" name="Picture"/>
            <a:graphic>
              <a:graphicData uri="http://schemas.openxmlformats.org/drawingml/2006/picture">
                <pic:pic>
                  <pic:nvPicPr>
                    <pic:cNvPr descr="CII_EstimNaoParam_files/figure-docx/unnamed-chunk-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45" w:name="outros-estimadores-não-parâmetricos"/>
    <w:p>
      <w:pPr>
        <w:pStyle w:val="Heading2"/>
      </w:pPr>
      <w:r>
        <w:t xml:space="preserve">2.3 Outros Estimadores Não Parâmetricos</w:t>
      </w:r>
    </w:p>
    <w:p>
      <w:pPr>
        <w:pStyle w:val="FirstParagraph"/>
      </w:pPr>
      <w:r>
        <w:t xml:space="preserve">Texto a ser preenchido…</w:t>
      </w:r>
    </w:p>
    <w:bookmarkStart w:id="44" w:name="estimador-de-nelson-aalen"/>
    <w:p>
      <w:pPr>
        <w:pStyle w:val="Heading3"/>
      </w:pPr>
      <w:r>
        <w:t xml:space="preserve">2.3.1 Estimador de Nelson-Aalen</w:t>
      </w:r>
    </w:p>
    <w:p>
      <w:pPr>
        <w:pStyle w:val="FirstParagraph"/>
      </w:pPr>
      <w:r>
        <w:t xml:space="preserve">Texto a ser preenchido…</w:t>
      </w:r>
    </w:p>
    <w:bookmarkEnd w:id="44"/>
    <w:bookmarkEnd w:id="45"/>
    <w:bookmarkStart w:id="46" w:name="Xe6b3968067ffaea8d260bcda5bdd9296e64e7d0"/>
    <w:p>
      <w:pPr>
        <w:pStyle w:val="Heading2"/>
      </w:pPr>
      <w:r>
        <w:t xml:space="preserve">2.4 Testes de Hipóteses para Comparação de Curvas de Sobrevivência</w:t>
      </w:r>
    </w:p>
    <w:bookmarkEnd w:id="46"/>
    <w:bookmarkEnd w:id="47"/>
    <w:bookmarkStart w:id="137" w:name="X597cbc4748de7f31618e130d6a21c3fd90a3a88"/>
    <w:p>
      <w:pPr>
        <w:pStyle w:val="Heading1"/>
      </w:pPr>
      <w:r>
        <w:t xml:space="preserve">3. Técnicas Paramétricas - Modelos Probabilísticos</w:t>
      </w:r>
    </w:p>
    <w:bookmarkStart w:id="48"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8"/>
    <w:bookmarkStart w:id="103"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9"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9"/>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7"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50"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50"/>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51"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51"/>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52"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52"/>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53"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3"/>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7"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5" name="Picture"/>
                  <a:graphic>
                    <a:graphicData uri="http://schemas.openxmlformats.org/drawingml/2006/picture">
                      <pic:pic>
                        <pic:nvPicPr>
                          <pic:cNvPr descr="CIII_ModelProb_files/figure-docx/fig-SobrExp-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1"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9" name="Picture"/>
                  <a:graphic>
                    <a:graphicData uri="http://schemas.openxmlformats.org/drawingml/2006/picture">
                      <pic:pic>
                        <pic:nvPicPr>
                          <pic:cNvPr descr="CIII_ModelProb_files/figure-docx/fig-RiscEx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5"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3" name="Picture"/>
                  <a:graphic>
                    <a:graphicData uri="http://schemas.openxmlformats.org/drawingml/2006/picture">
                      <pic:pic>
                        <pic:nvPicPr>
                          <pic:cNvPr descr="CIII_ModelProb_files/figure-docx/fig-RiscAcumulExp-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tc>
      </w:tr>
    </w:tbl>
    <w:bookmarkStart w:id="66"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6"/>
    <w:bookmarkEnd w:id="67"/>
    <w:bookmarkStart w:id="86"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8"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68"/>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69"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3.7</m:t>
              </m:r>
            </m:e>
          </m:d>
        </m:oMath>
      </m:oMathPara>
      <w:bookmarkEnd w:id="69"/>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70"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70"/>
    </w:p>
    <w:p>
      <w:pPr>
        <w:pStyle w:val="FirstParagraph"/>
      </w:pPr>
      <w:r>
        <w:t xml:space="preserve">e a função de risco acumulado da distribuição Weibull é dada por:</w:t>
      </w:r>
    </w:p>
    <w:p>
      <w:pPr>
        <w:pStyle w:val="BodyText"/>
      </w:pPr>
      <w:bookmarkStart w:id="71"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3.9</m:t>
              </m:r>
            </m:e>
          </m:d>
        </m:oMath>
      </m:oMathPara>
      <w:bookmarkEnd w:id="71"/>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5" w:name="fig-SobrWei"/>
          <w:p>
            <w:pPr>
              <w:jc w:val="center"/>
            </w:pPr>
            <w:pPr>
              <w:jc w:val="start"/>
              <w:spacing w:before="200"/>
              <w:pStyle w:val="ImageCaption"/>
            </w:pPr>
            <w:r>
              <w:t xml:space="preserve">Figura 3.4: Função de Sobrevivência para diferentes valores de γ</w:t>
            </w:r>
          </w:p>
          <w:p>
            <w:pPr>
              <w:pStyle w:val="Compact"/>
              <w:jc w:val="center"/>
            </w:pPr>
            <w:r>
              <w:drawing>
                <wp:inline>
                  <wp:extent cx="4620126" cy="3696101"/>
                  <wp:effectExtent b="0" l="0" r="0" t="0"/>
                  <wp:docPr descr="" title="" id="73" name="Picture"/>
                  <a:graphic>
                    <a:graphicData uri="http://schemas.openxmlformats.org/drawingml/2006/picture">
                      <pic:pic>
                        <pic:nvPicPr>
                          <pic:cNvPr descr="CIII_ModelProb_files/figure-docx/fig-SobrWei-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9" w:name="fig-RiscWei"/>
          <w:p>
            <w:pPr>
              <w:jc w:val="center"/>
            </w:pPr>
            <w:pPr>
              <w:jc w:val="start"/>
              <w:spacing w:before="200"/>
              <w:pStyle w:val="ImageCaption"/>
            </w:pPr>
            <w:r>
              <w:t xml:space="preserve">Figura 3.5: Função de Risco para diferentes valores de γ</w:t>
            </w:r>
          </w:p>
          <w:p>
            <w:pPr>
              <w:pStyle w:val="Compact"/>
              <w:jc w:val="center"/>
            </w:pPr>
            <w:r>
              <w:drawing>
                <wp:inline>
                  <wp:extent cx="4620126" cy="3696101"/>
                  <wp:effectExtent b="0" l="0" r="0" t="0"/>
                  <wp:docPr descr="" title="" id="77" name="Picture"/>
                  <a:graphic>
                    <a:graphicData uri="http://schemas.openxmlformats.org/drawingml/2006/picture">
                      <pic:pic>
                        <pic:nvPicPr>
                          <pic:cNvPr descr="CIII_ModelProb_files/figure-docx/fig-RiscWei-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3" w:name="fig-RiscAcumWei"/>
          <w:p>
            <w:pPr>
              <w:jc w:val="center"/>
            </w:pPr>
            <w:pPr>
              <w:jc w:val="start"/>
              <w:spacing w:before="200"/>
              <w:pStyle w:val="ImageCaption"/>
            </w:pPr>
            <w:r>
              <w:t xml:space="preserve">Figura 3.6: Função de Risco Acumulado para diferentes valores de γ</w:t>
            </w:r>
          </w:p>
          <w:p>
            <w:pPr>
              <w:pStyle w:val="Compact"/>
              <w:jc w:val="center"/>
            </w:pPr>
            <w:r>
              <w:drawing>
                <wp:inline>
                  <wp:extent cx="4620126" cy="3696101"/>
                  <wp:effectExtent b="0" l="0" r="0" t="0"/>
                  <wp:docPr descr="" title="" id="81" name="Picture"/>
                  <a:graphic>
                    <a:graphicData uri="http://schemas.openxmlformats.org/drawingml/2006/picture">
                      <pic:pic>
                        <pic:nvPicPr>
                          <pic:cNvPr descr="CIII_ModelProb_files/figure-docx/fig-RiscAcumWei-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tc>
      </w:tr>
    </w:tbl>
    <w:bookmarkStart w:id="84"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4"/>
    <w:bookmarkStart w:id="85"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85"/>
    <w:bookmarkEnd w:id="86"/>
    <w:bookmarkStart w:id="102"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87"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87"/>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88"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88"/>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2" w:name="fig-SobrLognormal"/>
          <w:p>
            <w:pPr>
              <w:jc w:val="center"/>
            </w:pPr>
            <w:pPr>
              <w:jc w:val="start"/>
              <w:spacing w:before="200"/>
              <w:pStyle w:val="ImageCaption"/>
            </w:pPr>
            <w:r>
              <w:t xml:space="preserve">Figura 3.7: Função de Sobrevivência para diferentes valores de μ</w:t>
            </w:r>
          </w:p>
          <w:p>
            <w:pPr>
              <w:pStyle w:val="Compact"/>
              <w:jc w:val="center"/>
            </w:pPr>
            <w:r>
              <w:drawing>
                <wp:inline>
                  <wp:extent cx="4620126" cy="3696101"/>
                  <wp:effectExtent b="0" l="0" r="0" t="0"/>
                  <wp:docPr descr="" title="" id="90" name="Picture"/>
                  <a:graphic>
                    <a:graphicData uri="http://schemas.openxmlformats.org/drawingml/2006/picture">
                      <pic:pic>
                        <pic:nvPicPr>
                          <pic:cNvPr descr="CIII_ModelProb_files/figure-docx/fig-SobrLognormal-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6" w:name="fig-RiscLognormal"/>
          <w:p>
            <w:pPr>
              <w:jc w:val="center"/>
            </w:pPr>
            <w:pPr>
              <w:jc w:val="start"/>
              <w:spacing w:before="200"/>
              <w:pStyle w:val="ImageCaption"/>
            </w:pPr>
            <w:r>
              <w:t xml:space="preserve">Figura 3.8: Função de Risco para diferentes valores de μ</w:t>
            </w:r>
          </w:p>
          <w:p>
            <w:pPr>
              <w:pStyle w:val="Compact"/>
              <w:jc w:val="center"/>
            </w:pPr>
            <w:r>
              <w:drawing>
                <wp:inline>
                  <wp:extent cx="4620126" cy="3696101"/>
                  <wp:effectExtent b="0" l="0" r="0" t="0"/>
                  <wp:docPr descr="" title="" id="94" name="Picture"/>
                  <a:graphic>
                    <a:graphicData uri="http://schemas.openxmlformats.org/drawingml/2006/picture">
                      <pic:pic>
                        <pic:nvPicPr>
                          <pic:cNvPr descr="CIII_ModelProb_files/figure-docx/fig-RiscLognormal-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00" w:name="fig-RiscAcumLognormal"/>
          <w:p>
            <w:pPr>
              <w:jc w:val="center"/>
            </w:pPr>
            <w:pPr>
              <w:jc w:val="start"/>
              <w:spacing w:before="200"/>
              <w:pStyle w:val="ImageCaption"/>
            </w:pPr>
            <w:r>
              <w:t xml:space="preserve">Figura 3.9: Função de Risco Acumulado para diferentes valores de μ</w:t>
            </w:r>
          </w:p>
          <w:p>
            <w:pPr>
              <w:pStyle w:val="Compact"/>
              <w:jc w:val="center"/>
            </w:pPr>
            <w:r>
              <w:drawing>
                <wp:inline>
                  <wp:extent cx="4620126" cy="3696101"/>
                  <wp:effectExtent b="0" l="0" r="0" t="0"/>
                  <wp:docPr descr="" title="" id="98" name="Picture"/>
                  <a:graphic>
                    <a:graphicData uri="http://schemas.openxmlformats.org/drawingml/2006/picture">
                      <pic:pic>
                        <pic:nvPicPr>
                          <pic:cNvPr descr="CIII_ModelProb_files/figure-docx/fig-RiscAcumLognormal-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tc>
      </w:tr>
    </w:tbl>
    <w:bookmarkStart w:id="101"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101"/>
    <w:bookmarkEnd w:id="102"/>
    <w:bookmarkEnd w:id="103"/>
    <w:bookmarkStart w:id="136"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35"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04"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04"/>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18"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10"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5"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05"/>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9"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07" name="Picture"/>
                  <a:graphic>
                    <a:graphicData uri="http://schemas.openxmlformats.org/drawingml/2006/picture">
                      <pic:pic>
                        <pic:nvPicPr>
                          <pic:cNvPr descr="CIII_ModelProb_files/figure-docx/fig-CompEMVexp-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tc>
      </w:tr>
    </w:tbl>
    <w:bookmarkEnd w:id="110"/>
    <w:bookmarkStart w:id="116"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r>
            <m:rPr>
              <m:sty m:val="p"/>
            </m:rPr>
            <m:t>{</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rPr>
              <m:sty m:val="p"/>
            </m:rPr>
            <m:t>{</m:t>
          </m:r>
          <m:sSub>
            <m:e>
              <m:r>
                <m:t>t</m:t>
              </m:r>
            </m:e>
            <m:sub>
              <m:r>
                <m:t>i</m:t>
              </m:r>
            </m:sub>
          </m:sSub>
          <m:r>
            <m:rPr>
              <m:sty m:val="p"/>
            </m:rPr>
            <m:t>}</m:t>
          </m:r>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t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2.015515 1.507207</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52        9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451.7492 -281.952</w:t>
      </w:r>
      <w:r>
        <w:br/>
      </w:r>
      <w:r>
        <w:rPr>
          <w:rStyle w:val="VerbatimChar"/>
        </w:rPr>
        <w:t xml:space="preserve">[2,] -281.9520 1788.248</w:t>
      </w:r>
    </w:p>
    <w:p>
      <w:pPr>
        <w:pStyle w:val="FirstParagraph"/>
      </w:pPr>
      <w:r>
        <w:t xml:space="preserve">Assim como na distribuição exponencial, será feita uma comparação entre o real e estimado.</w:t>
      </w:r>
    </w:p>
    <w:p>
      <w:pPr>
        <w:pStyle w:val="SourceCode"/>
      </w:pPr>
      <w:r>
        <w:rPr>
          <w:rStyle w:val="CommentTok"/>
        </w:rPr>
        <w:t xml:space="preserve"># ---------------------</w:t>
      </w:r>
      <w:r>
        <w:br/>
      </w:r>
      <w:r>
        <w:rPr>
          <w:rStyle w:val="CommentTok"/>
        </w:rPr>
        <w:t xml:space="preserve"># AJUSTES DE FORMATAÇÃO</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(dadosWeibull, wShape, wScale),</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(dadosWeibull,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1"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0.2904304</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0.7921747</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0.4128247</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0.8858229</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0.9422483</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0.0456849</w:t>
                  </w:r>
                </w:p>
              </w:tc>
            </w:tr>
          </w:tbl>
          <w:bookmarkEnd w:id="111"/>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5"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13" name="Picture"/>
                  <a:graphic>
                    <a:graphicData uri="http://schemas.openxmlformats.org/drawingml/2006/picture">
                      <pic:pic>
                        <pic:nvPicPr>
                          <pic:cNvPr descr="CIII_ModelProb_files/figure-docx/fig-CompEMVWeibull-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tc>
      </w:tr>
    </w:tbl>
    <w:bookmarkEnd w:id="116"/>
    <w:bookmarkStart w:id="117" w:name="distribuição-log-normal"/>
    <w:p>
      <w:pPr>
        <w:pStyle w:val="Heading5"/>
      </w:pPr>
      <w:r>
        <w:t xml:space="preserve">3.3.1.1.3 Distribuição Log-Normal</w:t>
      </w:r>
    </w:p>
    <w:bookmarkEnd w:id="117"/>
    <w:bookmarkEnd w:id="118"/>
    <w:bookmarkStart w:id="134" w:name="aplicações-com-censura"/>
    <w:p>
      <w:pPr>
        <w:pStyle w:val="Heading4"/>
      </w:pPr>
      <w:r>
        <w:t xml:space="preserve">3.3.1.2 Aplicações com Censura</w:t>
      </w:r>
    </w:p>
    <w:p>
      <w:pPr>
        <w:pStyle w:val="FirstParagraph"/>
      </w:pPr>
      <w:r>
        <w:t xml:space="preserve">Podemos utilizar os conhecimentos até aqui obtidos para modelar e estimar parâmetros, e consequentemente, curvas de sobrevivência onde exista censura. Vejamos os blocos de códigos a seguir.</w:t>
      </w:r>
    </w:p>
    <w:p>
      <w:pPr>
        <w:pStyle w:val="Compact"/>
        <w:numPr>
          <w:ilvl w:val="0"/>
          <w:numId w:val="1011"/>
        </w:numPr>
      </w:pPr>
      <w:r>
        <w:t xml:space="preserve">Ativamos os pacotes necessários: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"survival"</w:t>
      </w:r>
      <w:r>
        <w:rPr>
          <w:rStyle w:val="NormalTok"/>
        </w:rPr>
        <w:t xml:space="preserve">)) </w:t>
      </w:r>
      <w:r>
        <w:rPr>
          <w:rStyle w:val="FunctionTok"/>
        </w:rPr>
        <w:t xml:space="preserve">install.packages</w:t>
      </w:r>
      <w:r>
        <w:rPr>
          <w:rStyle w:val="NormalTok"/>
        </w:rPr>
        <w:t xml:space="preserve">(</w:t>
      </w:r>
      <w:r>
        <w:rPr>
          <w:rStyle w:val="StringTok"/>
        </w:rPr>
        <w:t xml:space="preserve">"survival"</w:t>
      </w:r>
      <w:r>
        <w:rPr>
          <w:rStyle w:val="NormalTok"/>
        </w:rPr>
        <w:t xml:space="preserve">)</w:t>
      </w:r>
    </w:p>
    <w:p>
      <w:pPr>
        <w:pStyle w:val="SourceCode"/>
      </w:pPr>
      <w:r>
        <w:rPr>
          <w:rStyle w:val="VerbatimChar"/>
        </w:rPr>
        <w:t xml:space="preserve">Carregando pacotes exigidos: survival</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p>
    <w:p>
      <w:pPr>
        <w:pStyle w:val="Compact"/>
        <w:numPr>
          <w:ilvl w:val="0"/>
          <w:numId w:val="1012"/>
        </w:numPr>
      </w:pPr>
      <w:r>
        <w:t xml:space="preserve">Simulamos os dados com censura:</w:t>
      </w:r>
    </w:p>
    <w:p>
      <w:pPr>
        <w:pStyle w:val="SourceCode"/>
      </w:pP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Tamanho amostral</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 Distribuição Weibull</w:t>
      </w:r>
      <w:r>
        <w:br/>
      </w:r>
      <w:r>
        <w:rPr>
          <w:rStyle w:val="NormalTok"/>
        </w:rPr>
        <w:t xml:space="preserve">gamma </w:t>
      </w:r>
      <w:r>
        <w:rPr>
          <w:rStyle w:val="OtherTok"/>
        </w:rPr>
        <w:t xml:space="preserve">&lt;-</w:t>
      </w:r>
      <w:r>
        <w:rPr>
          <w:rStyle w:val="NormalTok"/>
        </w:rPr>
        <w:t xml:space="preserve"> </w:t>
      </w:r>
      <w:r>
        <w:rPr>
          <w:rStyle w:val="DecValTok"/>
        </w:rPr>
        <w:t xml:space="preserve">2</w:t>
      </w:r>
      <w:r>
        <w:br/>
      </w:r>
      <w:r>
        <w:rPr>
          <w:rStyle w:val="NormalTok"/>
        </w:rPr>
        <w:t xml:space="preserve">alpha </w:t>
      </w:r>
      <w:r>
        <w:rPr>
          <w:rStyle w:val="OtherTok"/>
        </w:rPr>
        <w:t xml:space="preserve">&lt;-</w:t>
      </w:r>
      <w:r>
        <w:rPr>
          <w:rStyle w:val="NormalTok"/>
        </w:rPr>
        <w:t xml:space="preserve"> </w:t>
      </w:r>
      <w:r>
        <w:rPr>
          <w:rStyle w:val="FloatTok"/>
        </w:rPr>
        <w:t xml:space="preserve">1.5</w:t>
      </w:r>
      <w:r>
        <w:br/>
      </w:r>
      <w:r>
        <w:br/>
      </w:r>
      <w:r>
        <w:rPr>
          <w:rStyle w:val="CommentTok"/>
        </w:rPr>
        <w:t xml:space="preserve"># Geração de tempos de falha e censura</w:t>
      </w:r>
      <w:r>
        <w:br/>
      </w:r>
      <w:r>
        <w:rPr>
          <w:rStyle w:val="NormalTok"/>
        </w:rPr>
        <w:t xml:space="preserve">Tfalha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Tcensu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Determinação do tempo observado e indicador de censura</w:t>
      </w:r>
      <w:r>
        <w:br/>
      </w:r>
      <w:r>
        <w:rPr>
          <w:rStyle w:val="NormalTok"/>
        </w:rPr>
        <w:t xml:space="preserve">Tobservado </w:t>
      </w:r>
      <w:r>
        <w:rPr>
          <w:rStyle w:val="OtherTok"/>
        </w:rPr>
        <w:t xml:space="preserve">&lt;-</w:t>
      </w:r>
      <w:r>
        <w:rPr>
          <w:rStyle w:val="NormalTok"/>
        </w:rPr>
        <w:t xml:space="preserve"> </w:t>
      </w:r>
      <w:r>
        <w:rPr>
          <w:rStyle w:val="FunctionTok"/>
        </w:rPr>
        <w:t xml:space="preserve">pmin</w:t>
      </w:r>
      <w:r>
        <w:rPr>
          <w:rStyle w:val="NormalTok"/>
        </w:rPr>
        <w:t xml:space="preserve">(Tfalha, Tcensu)</w:t>
      </w:r>
      <w:r>
        <w:br/>
      </w:r>
      <w:r>
        <w:rPr>
          <w:rStyle w:val="NormalTok"/>
        </w:rPr>
        <w:t xml:space="preserve">indCensura </w:t>
      </w:r>
      <w:r>
        <w:rPr>
          <w:rStyle w:val="OtherTok"/>
        </w:rPr>
        <w:t xml:space="preserve">&lt;-</w:t>
      </w:r>
      <w:r>
        <w:rPr>
          <w:rStyle w:val="NormalTok"/>
        </w:rPr>
        <w:t xml:space="preserve"> </w:t>
      </w:r>
      <w:r>
        <w:rPr>
          <w:rStyle w:val="FunctionTok"/>
        </w:rPr>
        <w:t xml:space="preserve">as.numeric</w:t>
      </w:r>
      <w:r>
        <w:rPr>
          <w:rStyle w:val="NormalTok"/>
        </w:rPr>
        <w:t xml:space="preserve">(Tfalha </w:t>
      </w:r>
      <w:r>
        <w:rPr>
          <w:rStyle w:val="SpecialCharTok"/>
        </w:rPr>
        <w:t xml:space="preserve">&lt;=</w:t>
      </w:r>
      <w:r>
        <w:rPr>
          <w:rStyle w:val="NormalTok"/>
        </w:rPr>
        <w:t xml:space="preserve"> Tcensu)</w:t>
      </w:r>
      <w:r>
        <w:br/>
      </w:r>
      <w:r>
        <w:br/>
      </w: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do Tempo de Sobrevivência - Simulação"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CIII_ModelProb_files/figure-docx/unnamed-chunk-26-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3"/>
        </w:numPr>
      </w:pPr>
      <w:r>
        <w:t xml:space="preserve">Começamos o processo de estimação.</w:t>
      </w:r>
    </w:p>
    <w:p>
      <w:pPr>
        <w:pStyle w:val="Compact"/>
        <w:numPr>
          <w:ilvl w:val="0"/>
          <w:numId w:val="1013"/>
        </w:numPr>
      </w:pPr>
    </w:p>
    <w:p>
      <w:pPr>
        <w:pStyle w:val="Compact"/>
        <w:numPr>
          <w:ilvl w:val="1"/>
          <w:numId w:val="1014"/>
        </w:numPr>
      </w:pPr>
      <w:r>
        <w:t xml:space="preserve">Estimação Não Paramétrica.</w:t>
      </w:r>
    </w:p>
    <w:p>
      <w:pPr>
        <w:pStyle w:val="SourceCode"/>
      </w:pP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DataEKM,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CIII_ModelProb_files/figure-docx/unnamed-chunk-27-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5"/>
        </w:numPr>
      </w:pPr>
    </w:p>
    <w:p>
      <w:pPr>
        <w:pStyle w:val="Compact"/>
        <w:numPr>
          <w:ilvl w:val="1"/>
          <w:numId w:val="1016"/>
        </w:numPr>
      </w:pPr>
      <w:r>
        <w:t xml:space="preserve">Estimação Não Paramétrica.</w:t>
      </w:r>
    </w:p>
    <w:p>
      <w:pPr>
        <w:pStyle w:val="Compact"/>
        <w:numPr>
          <w:ilvl w:val="0"/>
          <w:numId w:val="1015"/>
        </w:numPr>
      </w:pPr>
    </w:p>
    <w:p>
      <w:pPr>
        <w:pStyle w:val="Compact"/>
        <w:numPr>
          <w:ilvl w:val="1"/>
          <w:numId w:val="1017"/>
        </w:numPr>
      </w:pPr>
    </w:p>
    <w:p>
      <w:pPr>
        <w:pStyle w:val="Compact"/>
        <w:numPr>
          <w:ilvl w:val="2"/>
          <w:numId w:val="1018"/>
        </w:numPr>
      </w:pPr>
      <w:r>
        <w:t xml:space="preserve">Distribuição Exponencial.</w:t>
      </w:r>
    </w:p>
    <w:p>
      <w:pPr>
        <w:pStyle w:val="SourceCode"/>
      </w:pP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rPr>
          <w:rStyle w:val="AttributeTok"/>
        </w:rPr>
        <w:t xml:space="preserve">Type =</w:t>
      </w:r>
      <w:r>
        <w:rPr>
          <w:rStyle w:val="NormalTok"/>
        </w:rPr>
        <w:t xml:space="preserve"> </w:t>
      </w:r>
      <w:r>
        <w:rPr>
          <w:rStyle w:val="StringTok"/>
        </w:rPr>
        <w:t xml:space="preserve">"Exponencial"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DataExp,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6" name="Picture"/>
            <a:graphic>
              <a:graphicData uri="http://schemas.openxmlformats.org/drawingml/2006/picture">
                <pic:pic>
                  <pic:nvPicPr>
                    <pic:cNvPr descr="CIII_ModelProb_files/figure-docx/unnamed-chunk-28-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9"/>
        </w:numPr>
      </w:pPr>
    </w:p>
    <w:p>
      <w:pPr>
        <w:pStyle w:val="Compact"/>
        <w:numPr>
          <w:ilvl w:val="1"/>
          <w:numId w:val="1020"/>
        </w:numPr>
      </w:pPr>
    </w:p>
    <w:p>
      <w:pPr>
        <w:pStyle w:val="Compact"/>
        <w:numPr>
          <w:ilvl w:val="2"/>
          <w:numId w:val="1021"/>
        </w:numPr>
      </w:pPr>
      <w:r>
        <w:t xml:space="preserve">Distribuição Weibull.</w:t>
      </w:r>
    </w:p>
    <w:p>
      <w:pPr>
        <w:numPr>
          <w:ilvl w:val="0"/>
          <w:numId w:val="1000"/>
        </w:numPr>
      </w:pPr>
      <w:r>
        <w:t xml:space="preserve">::: {.cell}</w:t>
      </w:r>
    </w:p>
    <w:p>
      <w:pPr>
        <w:pStyle w:val="SourceCode"/>
        <w:numPr>
          <w:ilvl w:val="0"/>
          <w:numId w:val="1000"/>
        </w:numPr>
      </w:pP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p>
    <w:p>
      <w:pPr>
        <w:numPr>
          <w:ilvl w:val="0"/>
          <w:numId w:val="1000"/>
        </w:numPr>
      </w:pPr>
      <w:r>
        <w:t xml:space="preserve">::: {.cell-output .cell-output-stderr}</w:t>
      </w:r>
    </w:p>
    <w:p>
      <w:pPr>
        <w:pStyle w:val="SourceCode"/>
        <w:numPr>
          <w:ilvl w:val="0"/>
          <w:numId w:val="1000"/>
        </w:numPr>
      </w:pPr>
      <w:r>
        <w:rPr>
          <w:rStyle w:val="VerbatimChar"/>
        </w:rPr>
        <w:t xml:space="preserve">Warning in log(alpha): NaNs produzidos</w:t>
      </w:r>
      <w:r>
        <w:br/>
      </w:r>
      <w:r>
        <w:rPr>
          <w:rStyle w:val="VerbatimChar"/>
        </w:rPr>
        <w:t xml:space="preserve">Warning in log(alpha): NaNs produzidos</w:t>
      </w:r>
    </w:p>
    <w:p>
      <w:pPr>
        <w:numPr>
          <w:ilvl w:val="0"/>
          <w:numId w:val="1000"/>
        </w:numPr>
      </w:pPr>
      <w:r>
        <w:t xml:space="preserve">:::</w:t>
      </w:r>
    </w:p>
    <w:p>
      <w:pPr>
        <w:pStyle w:val="SourceCode"/>
        <w:numPr>
          <w:ilvl w:val="0"/>
          <w:numId w:val="1000"/>
        </w:numPr>
      </w:pPr>
      <w:r>
        <w:rPr>
          <w:rStyle w:val="NormalTok"/>
        </w:rPr>
        <w:t xml:space="preserve">estimate</w:t>
      </w:r>
    </w:p>
    <w:p>
      <w:pPr>
        <w:numPr>
          <w:ilvl w:val="0"/>
          <w:numId w:val="1000"/>
        </w:numPr>
      </w:pPr>
      <w:r>
        <w:t xml:space="preserve">::: {.cell-output .cell-output-stdout}</w:t>
      </w:r>
    </w:p>
    <w:p>
      <w:pPr>
        <w:pStyle w:val="SourceCode"/>
        <w:numPr>
          <w:ilvl w:val="0"/>
          <w:numId w:val="1000"/>
        </w:numPr>
      </w:pPr>
      <w:r>
        <w:rPr>
          <w:rStyle w:val="VerbatimChar"/>
        </w:rPr>
        <w:t xml:space="preserve">$par</w:t>
      </w:r>
      <w:r>
        <w:br/>
      </w:r>
      <w:r>
        <w:rPr>
          <w:rStyle w:val="VerbatimChar"/>
        </w:rPr>
        <w:t xml:space="preserve">[1] 2.021559 1.561521</w:t>
      </w:r>
      <w:r>
        <w:br/>
      </w:r>
      <w:r>
        <w:br/>
      </w:r>
      <w:r>
        <w:rPr>
          <w:rStyle w:val="VerbatimChar"/>
        </w:rPr>
        <w:t xml:space="preserve">$value</w:t>
      </w:r>
      <w:r>
        <w:br/>
      </w:r>
      <w:r>
        <w:rPr>
          <w:rStyle w:val="VerbatimChar"/>
        </w:rPr>
        <w:t xml:space="preserve">[1] 455.8422</w:t>
      </w:r>
      <w:r>
        <w:br/>
      </w:r>
      <w:r>
        <w:br/>
      </w:r>
      <w:r>
        <w:rPr>
          <w:rStyle w:val="VerbatimChar"/>
        </w:rPr>
        <w:t xml:space="preserve">$counts</w:t>
      </w:r>
      <w:r>
        <w:br/>
      </w:r>
      <w:r>
        <w:rPr>
          <w:rStyle w:val="VerbatimChar"/>
        </w:rPr>
        <w:t xml:space="preserve">function gradient </w:t>
      </w:r>
      <w:r>
        <w:br/>
      </w:r>
      <w:r>
        <w:rPr>
          <w:rStyle w:val="VerbatimChar"/>
        </w:rPr>
        <w:t xml:space="preserve">      30       11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169.43753  71.93369</w:t>
      </w:r>
      <w:r>
        <w:br/>
      </w:r>
      <w:r>
        <w:rPr>
          <w:rStyle w:val="VerbatimChar"/>
        </w:rPr>
        <w:t xml:space="preserve">[2,]  71.93369 536.32537</w:t>
      </w:r>
    </w:p>
    <w:p>
      <w:pPr>
        <w:numPr>
          <w:ilvl w:val="0"/>
          <w:numId w:val="1000"/>
        </w:numPr>
      </w:pPr>
      <w:r>
        <w:t xml:space="preserve">:::</w:t>
      </w:r>
    </w:p>
    <w:p>
      <w:pPr>
        <w:pStyle w:val="SourceCode"/>
        <w:numPr>
          <w:ilvl w:val="0"/>
          <w:numId w:val="1000"/>
        </w:numPr>
      </w:pP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rPr>
          <w:rStyle w:val="AttributeTok"/>
        </w:rPr>
        <w:t xml:space="preserve">Type =</w:t>
      </w:r>
      <w:r>
        <w:rPr>
          <w:rStyle w:val="NormalTok"/>
        </w:rPr>
        <w:t xml:space="preserve"> </w:t>
      </w:r>
      <w:r>
        <w:rPr>
          <w:rStyle w:val="StringTok"/>
        </w:rPr>
        <w:t xml:space="preserve">"Weibull"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DataWeib,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Weibull"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numPr>
          <w:ilvl w:val="0"/>
          <w:numId w:val="1000"/>
        </w:numPr>
      </w:pPr>
      <w:r>
        <w:t xml:space="preserve">::: {.cell-output-display}</w:t>
      </w:r>
      <w:r>
        <w:t xml:space="preserve"> </w:t>
      </w:r>
      <w:r>
        <w:drawing>
          <wp:inline>
            <wp:extent cx="4620126" cy="3696101"/>
            <wp:effectExtent b="0" l="0" r="0" t="0"/>
            <wp:docPr descr="" title="" id="129" name="Picture"/>
            <a:graphic>
              <a:graphicData uri="http://schemas.openxmlformats.org/drawingml/2006/picture">
                <pic:pic>
                  <pic:nvPicPr>
                    <pic:cNvPr descr="CIII_ModelProb_files/figure-docx/unnamed-chunk-29-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w:t>
      </w:r>
    </w:p>
    <w:p>
      <w:pPr>
        <w:pStyle w:val="FirstParagraph"/>
      </w:pPr>
      <w:r>
        <w:t xml:space="preserve">Por fim, com o objetivo de fazer uma comparação, visual, temos a Figura abaixo.</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linetype =</w:t>
      </w:r>
      <w:r>
        <w:rPr>
          <w:rStyle w:val="NormalTok"/>
        </w:rPr>
        <w:t xml:space="preserve"> Type),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Kaplan-Meier, Weibull e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c("solid", "dashed", "dotted")</w:t>
      </w:r>
    </w:p>
    <w:p>
      <w:pPr>
        <w:pStyle w:val="FirstParagraph"/>
      </w:pPr>
      <w:r>
        <w:drawing>
          <wp:inline>
            <wp:extent cx="4620126" cy="3696101"/>
            <wp:effectExtent b="0" l="0" r="0" t="0"/>
            <wp:docPr descr="" title="" id="132" name="Picture"/>
            <a:graphic>
              <a:graphicData uri="http://schemas.openxmlformats.org/drawingml/2006/picture">
                <pic:pic>
                  <pic:nvPicPr>
                    <pic:cNvPr descr="CIII_ModelProb_files/figure-docx/unnamed-chunk-30-1.png" id="133"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106" Target="media/rId106.png" /><Relationship Type="http://schemas.openxmlformats.org/officeDocument/2006/relationships/image" Id="rId97" Target="media/rId97.png" /><Relationship Type="http://schemas.openxmlformats.org/officeDocument/2006/relationships/image" Id="rId80" Target="media/rId80.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93" Target="media/rId93.png" /><Relationship Type="http://schemas.openxmlformats.org/officeDocument/2006/relationships/image" Id="rId76" Target="media/rId76.png" /><Relationship Type="http://schemas.openxmlformats.org/officeDocument/2006/relationships/image" Id="rId54" Target="media/rId54.png" /><Relationship Type="http://schemas.openxmlformats.org/officeDocument/2006/relationships/image" Id="rId89" Target="media/rId89.png" /><Relationship Type="http://schemas.openxmlformats.org/officeDocument/2006/relationships/image" Id="rId72" Target="media/rId72.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2024-12-19T04:39:57Z</dcterms:created>
  <dcterms:modified xsi:type="dcterms:W3CDTF">2024-12-19T04:39:57Z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