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png" ContentType="image/png"/>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145.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rPr>
          <w:b/>
          <w:bCs/>
        </w:rPr>
        <w:t xml:space="preserve">Breno</w:t>
      </w:r>
      <w:r>
        <w:rPr>
          <w:b/>
          <w:bCs/>
        </w:rPr>
        <w:t xml:space="preserve"> </w:t>
      </w:r>
      <w:r>
        <w:rPr>
          <w:b/>
          <w:bCs/>
        </w:rPr>
        <w:t xml:space="preserve">Cauã</w:t>
      </w:r>
      <w:r>
        <w:rPr>
          <w:b/>
          <w:bCs/>
        </w:rPr>
        <w:t xml:space="preserve"> </w:t>
      </w:r>
      <w:r>
        <w:rPr>
          <w:b/>
          <w:bCs/>
        </w:rPr>
        <w:t xml:space="preserve">Rodrigues</w:t>
      </w:r>
      <w:r>
        <w:rPr>
          <w:b/>
          <w:bCs/>
        </w:rPr>
        <w:t xml:space="preserve"> </w:t>
      </w:r>
      <w:r>
        <w:rPr>
          <w:b/>
          <w:bCs/>
        </w:rPr>
        <w:t xml:space="preserve">da</w:t>
      </w:r>
      <w:r>
        <w:rPr>
          <w:b/>
          <w:bCs/>
        </w:rPr>
        <w:t xml:space="preserve"> </w:t>
      </w:r>
      <w:r>
        <w:rPr>
          <w:b/>
          <w:bCs/>
        </w:rP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w:t>
      </w:r>
      <w:r>
        <w:t xml:space="preserve"> </w:t>
      </w:r>
      <w:hyperlink w:anchor="eq-VarKaplanMeier">
        <w:r>
          <w:rPr>
            <w:rStyle w:val="Hyperlink"/>
          </w:rPr>
          <w:t xml:space="preserve">Equação 2.4</w:t>
        </w:r>
      </w:hyperlink>
      <w:r>
        <w:t xml:space="preserve"> </w:t>
      </w:r>
      <w:r>
        <w:t xml:space="preserve">estão disponíveis em</w:t>
      </w:r>
      <w:r>
        <w:t xml:space="preserve"> </w:t>
      </w:r>
      <w:r>
        <w:t xml:space="preserve">Kalbfleisch e Prentice (1980)</w:t>
      </w:r>
      <w:r>
        <w:t xml:space="preserve">.</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FirstParagraph"/>
      </w:pPr>
      <w:r>
        <w:t xml:space="preserve">Veja a saída resultante do teste realizado no software R:</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r_6</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df,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df,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55"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 variando o parâmetro de locação</w:t>
      </w:r>
      <w:r>
        <w:t xml:space="preserve"> </w:t>
      </w:r>
      <m:oMath>
        <m:r>
          <m:t>μ</m:t>
        </m:r>
      </m:oMath>
      <w:r>
        <w:t xml:space="preserve"> </w:t>
      </w:r>
      <w:r>
        <w:t xml:space="preserve">e fixando o parâmetro de escala</w:t>
      </w:r>
      <w:r>
        <w:t xml:space="preserve"> </w:t>
      </w:r>
      <m:oMath>
        <m:r>
          <m:t>σ</m:t>
        </m:r>
        <m:r>
          <m:rPr>
            <m:sty m:val="p"/>
          </m:rPr>
          <m:t>=</m:t>
        </m:r>
        <m:r>
          <m:t>1</m:t>
        </m:r>
      </m:oMath>
      <w:r>
        <w:t xml:space="preserve">.</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54"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4"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Simulou-se uma amostra proveniente de uma distribuição exponencial e, a partir dessa amostra, obteve-se a estimativa de máxima verossimilhança (EMV) para o parâmetro</w:t>
      </w:r>
      <w:r>
        <w:t xml:space="preserve"> </w:t>
      </w:r>
      <m:oMath>
        <m:r>
          <m:t>α</m:t>
        </m:r>
      </m:oMath>
      <w:r>
        <w:t xml:space="preserve">. 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rate),</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O valor verdadeiro do parâmetro é</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 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(alpha </w:t>
      </w:r>
      <w:r>
        <w:rPr>
          <w:rStyle w:val="SpecialCharTok"/>
        </w:rPr>
        <w:t xml:space="preserve">==</w:t>
      </w:r>
      <w:r>
        <w:rPr>
          <w:rStyle w:val="NormalTok"/>
        </w:rPr>
        <w:t xml:space="preserve"> .(rate)),</w:t>
      </w:r>
      <w:r>
        <w:br/>
      </w:r>
      <w:r>
        <w:rPr>
          <w:rStyle w:val="NormalTok"/>
        </w:rPr>
        <w:t xml:space="preserve">      </w:t>
      </w:r>
      <w:r>
        <w:rPr>
          <w:rStyle w:val="FunctionTok"/>
        </w:rPr>
        <w:t xml:space="preserve">bquote</w:t>
      </w:r>
      <w:r>
        <w:rPr>
          <w:rStyle w:val="NormalTok"/>
        </w:rPr>
        <w:t xml:space="preserve">(</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(emvExp,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r>
                <m:rPr>
                  <m:sty m:val="p"/>
                </m:rPr>
                <m:t>∂</m:t>
              </m:r>
              <m:r>
                <m:t>γ</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SourceCode"/>
      </w:pPr>
      <w:r>
        <w:rPr>
          <w:rStyle w:val="CommentTok"/>
        </w:rPr>
        <w:t xml:space="preserve"># ----------------------</w:t>
      </w:r>
      <w:r>
        <w:br/>
      </w:r>
      <w:r>
        <w:rPr>
          <w:rStyle w:val="CommentTok"/>
        </w:rPr>
        <w:t xml:space="preserve"># Configurações Iniciais</w:t>
      </w:r>
      <w:r>
        <w:br/>
      </w:r>
      <w:r>
        <w:rPr>
          <w:rStyle w:val="CommentTok"/>
        </w:rPr>
        <w:t xml:space="preserve"># ----------------------</w:t>
      </w:r>
      <w:r>
        <w:br/>
      </w:r>
      <w:r>
        <w:br/>
      </w:r>
      <w:r>
        <w:rPr>
          <w:rStyle w:val="CommentTok"/>
        </w:rPr>
        <w:t xml:space="preserve"># Ativação de Pacotes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Distribuição Weibull</w:t>
      </w:r>
      <w:r>
        <w:br/>
      </w:r>
      <w:r>
        <w:rPr>
          <w:rStyle w:val="CommentTok"/>
        </w:rPr>
        <w:t xml:space="preserve"># --------------------</w:t>
      </w:r>
      <w:r>
        <w:br/>
      </w:r>
      <w:r>
        <w:rPr>
          <w:rStyle w:val="CommentTok"/>
        </w:rPr>
        <w:t xml:space="preserve"># -------------------</w:t>
      </w:r>
      <w:r>
        <w:br/>
      </w:r>
      <w:r>
        <w:rPr>
          <w:rStyle w:val="CommentTok"/>
        </w:rPr>
        <w:t xml:space="preserve">#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p>
    <w:p>
      <w:pPr>
        <w:pStyle w:val="FirstParagraph"/>
      </w:pPr>
      <w:r>
        <w:t xml:space="preserve">Com todas as derivadas definidas, pode-se construir o algoritmo iterativo de Newton-Raphson. Veja a saída obtida à implementação do algoritmo de Newton-Raphson escrito pelo autor.</w:t>
      </w:r>
    </w:p>
    <w:p>
      <w:pPr>
        <w:pStyle w:val="SourceCode"/>
      </w:pPr>
      <w:r>
        <w:rPr>
          <w:rStyle w:val="CommentTok"/>
        </w:rPr>
        <w:t xml:space="preserve"># -----------------</w:t>
      </w:r>
      <w:r>
        <w:br/>
      </w:r>
      <w:r>
        <w:rPr>
          <w:rStyle w:val="CommentTok"/>
        </w:rPr>
        <w:t xml:space="preserve"># [1] Algoritmo</w:t>
      </w:r>
      <w:r>
        <w:br/>
      </w:r>
      <w:r>
        <w:rPr>
          <w:rStyle w:val="CommentTok"/>
        </w:rPr>
        <w:t xml:space="preserve"># -----------------</w:t>
      </w:r>
      <w:r>
        <w:br/>
      </w:r>
      <w:r>
        <w:rPr>
          <w:rStyle w:val="CommentTok"/>
        </w:rPr>
        <w:t xml:space="preserve"># ---------------------</w:t>
      </w:r>
      <w:r>
        <w:br/>
      </w:r>
      <w:r>
        <w:rPr>
          <w:rStyle w:val="CommentTok"/>
        </w:rPr>
        <w:t xml:space="preserve"># [1.1] Vetor Gradiente</w:t>
      </w:r>
      <w:r>
        <w:br/>
      </w:r>
      <w:r>
        <w:rPr>
          <w:rStyle w:val="CommentTok"/>
        </w:rPr>
        <w:t xml:space="preserve"># ---------------------</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w:t>
      </w:r>
      <w:r>
        <w:br/>
      </w:r>
      <w:r>
        <w:rPr>
          <w:rStyle w:val="CommentTok"/>
        </w:rPr>
        <w:t xml:space="preserve"># [1.2]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w:t>
      </w:r>
      <w:r>
        <w:br/>
      </w:r>
      <w:r>
        <w:rPr>
          <w:rStyle w:val="CommentTok"/>
        </w:rPr>
        <w:t xml:space="preserve"># [1.3] Método Iterativo de Newton-Raphson</w:t>
      </w:r>
      <w:r>
        <w:br/>
      </w:r>
      <w:r>
        <w:rPr>
          <w:rStyle w:val="CommentTok"/>
        </w:rPr>
        <w:t xml:space="preserve"># ----------------------------------------</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Vetor Escore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theta1[1], ", Escala:", theta1[2],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46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2.015515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1.507206 </w:t>
      </w:r>
    </w:p>
    <w:p>
      <w:pPr>
        <w:pStyle w:val="FirstParagraph"/>
      </w:pPr>
      <w:r>
        <w:t xml:space="preserve">O mesmo resultado, ou bem próximo, pode ser obtido de uma forma mais direta por meio do uso da função</w:t>
      </w:r>
      <w:r>
        <w:t xml:space="preserve"> </w:t>
      </w:r>
      <w:r>
        <w:rPr>
          <w:rStyle w:val="VerbatimChar"/>
        </w:rPr>
        <w:t xml:space="preserve">optim</w:t>
      </w:r>
      <w:r>
        <w:t xml:space="preserve"> </w:t>
      </w:r>
      <w:r>
        <w:t xml:space="preserve">para otimização. Veja a saída obtida de tal função.</w:t>
      </w:r>
    </w:p>
    <w:p>
      <w:pPr>
        <w:pStyle w:val="SourceCode"/>
      </w:pPr>
      <w:r>
        <w:rPr>
          <w:rStyle w:val="CommentTok"/>
        </w:rPr>
        <w:t xml:space="preserve"># ------------------</w:t>
      </w:r>
      <w:r>
        <w:br/>
      </w:r>
      <w:r>
        <w:rPr>
          <w:rStyle w:val="CommentTok"/>
        </w:rPr>
        <w:t xml:space="preserve"># [2] Função `optim`</w:t>
      </w:r>
      <w:r>
        <w:br/>
      </w:r>
      <w:r>
        <w:rPr>
          <w:rStyle w:val="CommentTok"/>
        </w:rPr>
        <w:t xml:space="preserve"># ------------------</w:t>
      </w:r>
      <w:r>
        <w:br/>
      </w:r>
      <w:r>
        <w:rPr>
          <w:rStyle w:val="CommentTok"/>
        </w:rPr>
        <w:t xml:space="preserve"># ---------------------------</w:t>
      </w:r>
      <w:r>
        <w:br/>
      </w:r>
      <w:r>
        <w:rPr>
          <w:rStyle w:val="CommentTok"/>
        </w:rPr>
        <w:t xml:space="preserve"># [2] Função a ser maximizada</w:t>
      </w:r>
      <w:r>
        <w:br/>
      </w:r>
      <w:r>
        <w:rPr>
          <w:rStyle w:val="CommentTok"/>
        </w:rPr>
        <w:t xml:space="preserve"># ---------------------------</w:t>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[2.2] Método Iterativo de Newton-Raphson</w:t>
      </w:r>
      <w:r>
        <w:br/>
      </w:r>
      <w:r>
        <w:rPr>
          <w:rStyle w:val="CommentTok"/>
        </w:rPr>
        <w:t xml:space="preserve"># ----------------------------------------</w:t>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"O método convergiu?"</w:t>
      </w:r>
      <w:r>
        <w:rPr>
          <w:rStyle w:val="NormalTok"/>
        </w:rPr>
        <w:t xml:space="preserve">, estimate</w:t>
      </w:r>
      <w:r>
        <w:rPr>
          <w:rStyle w:val="SpecialCharTok"/>
        </w:rPr>
        <w:t xml:space="preserve">$</w:t>
      </w:r>
      <w:r>
        <w:rPr>
          <w:rStyle w:val="NormalTok"/>
        </w:rPr>
        <w:t xml:space="preserve">convergence</w:t>
      </w:r>
      <w:r>
        <w:rPr>
          <w:rStyle w:val="SpecialCharTok"/>
        </w:rPr>
        <w:t xml:space="preserve">==</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 método convergiu? TRUE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2.015526 </w:t>
      </w:r>
    </w:p>
    <w:p>
      <w:pPr>
        <w:pStyle w:val="SourceCode"/>
      </w:pPr>
      <w:r>
        <w:rPr>
          <w:rStyle w:val="FunctionTok"/>
        </w:rPr>
        <w:t xml:space="preserve">cat</w:t>
      </w:r>
      <w:r>
        <w:rPr>
          <w:rStyle w:val="NormalTok"/>
        </w:rPr>
        <w:t xml:space="preserve">(</w:t>
      </w:r>
      <w:r>
        <w:rPr>
          <w:rStyle w:val="StringTok"/>
        </w:rPr>
        <w:t xml:space="preserve">"Estimativa para o parâmetro de escala:"</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escala: 1.507207 </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gamma </w:t>
      </w:r>
      <w:r>
        <w:rPr>
          <w:rStyle w:val="SpecialCharTok"/>
        </w:rPr>
        <w:t xml:space="preserve">==</w:t>
      </w:r>
      <w:r>
        <w:rPr>
          <w:rStyle w:val="NormalTok"/>
        </w:rPr>
        <w:t xml:space="preserve"> .(w_shape)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.(w_scale)),</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(gamma)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w:t>
            </w:r>
            <w:r>
              <w:t xml:space="preserve"> </w:t>
            </w:r>
            <m:oMath>
              <m:r>
                <m:t>γ</m:t>
              </m:r>
            </m:oMath>
            <w:r>
              <w:t xml:space="preserve"> </w:t>
            </w:r>
            <w:r>
              <w:t xml:space="preserve">e</w:t>
            </w:r>
            <w:r>
              <w:t xml:space="preserve"> </w:t>
            </w:r>
            <m:oMath>
              <m:r>
                <m:t>α</m:t>
              </m:r>
            </m:oMath>
            <w:r>
              <w:t xml:space="preserve"> </w:t>
            </w:r>
            <w:r>
              <w:t xml:space="preserve">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End w:id="144"/>
    <w:bookmarkStart w:id="153" w:name="aplicação-caso-haja-censura"/>
    <w:p>
      <w:pPr>
        <w:pStyle w:val="Heading3"/>
      </w:pPr>
      <w:r>
        <w:t xml:space="preserve">3.3.3 Aplicação caso haja Censura</w:t>
      </w:r>
    </w:p>
    <w:p>
      <w:pPr>
        <w:pStyle w:val="FirstParagraph"/>
      </w:pPr>
      <w:r>
        <w:t xml:space="preserve">Amostras aleatórias foram geradas simultaneamente a partir das distribuições Weibull e Exponencial, com o objetivo de modelar tempos de falha e censura, respectivamente. Para cada unidade amostral, o tempo observado foi definido como a menor realização entre as duas distribuições, ou seja:</w:t>
      </w:r>
    </w:p>
    <w:p>
      <w:pPr>
        <w:pStyle w:val="BodyText"/>
      </w:pPr>
      <m:oMathPara>
        <m:oMathParaPr>
          <m:jc m:val="center"/>
        </m:oMathParaPr>
        <m:oMath>
          <m:sSub>
            <m:e>
              <m:r>
                <m:t>t</m:t>
              </m:r>
            </m:e>
            <m:sub>
              <m:r>
                <m:t>i</m:t>
              </m:r>
            </m:sub>
          </m:sSub>
          <m:r>
            <m:rPr>
              <m:sty m:val="p"/>
            </m:rPr>
            <m:t>=</m:t>
          </m:r>
          <m:r>
            <m:t>m</m:t>
          </m:r>
          <m:r>
            <m:t>i</m:t>
          </m:r>
          <m:r>
            <m:t>n</m:t>
          </m:r>
          <m:d>
            <m:dPr>
              <m:begChr m:val="("/>
              <m:endChr m:val=")"/>
              <m:sepChr m:val=""/>
              <m:grow/>
            </m:dPr>
            <m:e>
              <m:sSub>
                <m:e>
                  <m:r>
                    <m:t>T</m:t>
                  </m:r>
                </m:e>
                <m:sub>
                  <m:r>
                    <m:t>i</m:t>
                  </m:r>
                </m:sub>
              </m:sSub>
              <m:r>
                <m:rPr>
                  <m:sty m:val="p"/>
                </m:rPr>
                <m:t>,</m:t>
              </m:r>
              <m:sSub>
                <m:e>
                  <m:r>
                    <m:t>C</m:t>
                  </m:r>
                </m:e>
                <m:sub>
                  <m:r>
                    <m:t>i</m:t>
                  </m:r>
                </m:sub>
              </m:sSub>
            </m:e>
          </m:d>
          <m:r>
            <m:rPr>
              <m:sty m:val="p"/>
            </m:rPr>
            <m:t>,</m:t>
          </m:r>
        </m:oMath>
      </m:oMathPara>
    </w:p>
    <w:p>
      <w:pPr>
        <w:pStyle w:val="FirstParagraph"/>
      </w:pPr>
      <w:r>
        <w:t xml:space="preserve">onde</w:t>
      </w:r>
    </w:p>
    <w:p>
      <w:pPr>
        <w:pStyle w:val="Compact"/>
        <w:numPr>
          <w:ilvl w:val="0"/>
          <w:numId w:val="1014"/>
        </w:numPr>
      </w:pP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w:t>
      </w:r>
      <w:r>
        <w:t xml:space="preserve">representa o tempo real de falha, assumindo uma distribuição Weibull parametrizada por forma (</w:t>
      </w:r>
      <m:oMath>
        <m:r>
          <m:t>γ</m:t>
        </m:r>
        <m:r>
          <m:rPr>
            <m:sty m:val="p"/>
          </m:rPr>
          <m:t>=</m:t>
        </m:r>
        <m:r>
          <m:t>2</m:t>
        </m:r>
      </m:oMath>
      <w:r>
        <w:t xml:space="preserve">) e escala (</w:t>
      </w:r>
      <m:oMath>
        <m:r>
          <m:t>α</m:t>
        </m:r>
        <m:r>
          <m:rPr>
            <m:sty m:val="p"/>
          </m:rPr>
          <m:t>=</m:t>
        </m:r>
        <m:r>
          <m:t>1.5</m:t>
        </m:r>
      </m:oMath>
      <w:r>
        <w:t xml:space="preserve">);</w:t>
      </w:r>
    </w:p>
    <w:p>
      <w:pPr>
        <w:pStyle w:val="Compact"/>
        <w:numPr>
          <w:ilvl w:val="0"/>
          <w:numId w:val="1014"/>
        </w:numPr>
      </w:pPr>
      <m:oMath>
        <m:r>
          <m:t>C</m:t>
        </m:r>
        <m:r>
          <m:rPr>
            <m:sty m:val="p"/>
          </m:rPr>
          <m:t>∼</m:t>
        </m:r>
        <m:r>
          <m:t>E</m:t>
        </m:r>
        <m:r>
          <m:t>x</m:t>
        </m:r>
        <m:r>
          <m:t>p</m:t>
        </m:r>
        <m:d>
          <m:dPr>
            <m:begChr m:val="("/>
            <m:endChr m:val=")"/>
            <m:sepChr m:val=""/>
            <m:grow/>
          </m:dPr>
          <m:e>
            <m:r>
              <m:t>α</m:t>
            </m:r>
          </m:e>
        </m:d>
      </m:oMath>
      <w:r>
        <w:t xml:space="preserve"> </w:t>
      </w:r>
      <w:r>
        <w:t xml:space="preserve">corresponde ao tempo de censura, assumindo uma distribuição Exponencial com parâmetro de taxa</w:t>
      </w:r>
      <w:r>
        <w:t xml:space="preserve"> </w:t>
      </w:r>
      <m:oMath>
        <m:r>
          <m:t>α</m:t>
        </m:r>
        <m:r>
          <m:rPr>
            <m:sty m:val="p"/>
          </m:rPr>
          <m:t>=</m:t>
        </m:r>
        <m:r>
          <m:t>1</m:t>
        </m:r>
      </m:oMath>
      <w:r>
        <w:t xml:space="preserve">.</w:t>
      </w:r>
    </w:p>
    <w:p>
      <w:pPr>
        <w:pStyle w:val="FirstParagraph"/>
      </w:pPr>
      <w:r>
        <w:t xml:space="preserve">A censura ocorre quando o tempo de observação não corresponde ao tempo real de falha, ou seja, quando</w:t>
      </w:r>
      <w:r>
        <w:t xml:space="preserve"> </w:t>
      </w:r>
      <m:oMath>
        <m:sSub>
          <m:e>
            <m:r>
              <m:t>C</m:t>
            </m:r>
          </m:e>
          <m:sub>
            <m:r>
              <m:t>i</m:t>
            </m:r>
          </m:sub>
        </m:sSub>
        <m:r>
          <m:rPr>
            <m:sty m:val="p"/>
          </m:rPr>
          <m:t>&lt;</m:t>
        </m:r>
        <m:sSub>
          <m:e>
            <m:r>
              <m:t>T</m:t>
            </m:r>
          </m:e>
          <m:sub>
            <m:r>
              <m:t>i</m:t>
            </m:r>
          </m:sub>
        </m:sSub>
      </m:oMath>
      <w:r>
        <w:t xml:space="preserve">. Nesse caso, o evento de interesse não foi completamente observado, sendo conhecido apenas que o verdadeiro tempo de falha excede o valor registrado. Essa característica, fundamental na análise de sobrevivência, requer métodos estatísticos específicos para garantir inferências adequadas a partir de dados censurados.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Foram simulados 1000 tempos de falha, dentre eles, 250 são tempos de falha censurados. Deixa-se uma sugestão de variar essa proporção e avaliar a qualidade das estimativas. De posse dos dados simulados, gerou-se a</w:t>
      </w:r>
      <w:r>
        <w:t xml:space="preserve"> </w:t>
      </w:r>
      <w:hyperlink w:anchor="fig-HistSimulCens">
        <w:r>
          <w:rPr>
            <w:rStyle w:val="Hyperlink"/>
          </w:rPr>
          <w:t xml:space="preserve">Figura 3.6</w:t>
        </w:r>
      </w:hyperlink>
      <w:r>
        <w:t xml:space="preserve">.</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8" w:name="fig-HistSimulCens"/>
          <w:p>
            <w:pPr>
              <w:jc w:val="center"/>
            </w:pPr>
            <w:pPr>
              <w:jc w:val="start"/>
              <w:spacing w:before="200"/>
              <w:pStyle w:val="ImageCaption"/>
            </w:pPr>
            <w:r>
              <w:t xml:space="preserve">Figura 3.6: Histograma dos dados simulados.</w:t>
            </w:r>
          </w:p>
          <w:p>
            <w:pPr>
              <w:pStyle w:val="Compact"/>
              <w:jc w:val="center"/>
            </w:pPr>
            <w:r>
              <w:drawing>
                <wp:inline>
                  <wp:extent cx="4620126" cy="3696101"/>
                  <wp:effectExtent b="0" l="0" r="0" t="0"/>
                  <wp:docPr descr="" title="" id="146" name="Picture"/>
                  <a:graphic>
                    <a:graphicData uri="http://schemas.openxmlformats.org/drawingml/2006/picture">
                      <pic:pic>
                        <pic:nvPicPr>
                          <pic:cNvPr descr="CIII_TEC_PARAM_files/figure-docx/fig-HistSimulCens-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tc>
      </w:tr>
    </w:tbl>
    <w:p>
      <w:pPr>
        <w:pStyle w:val="BodyText"/>
      </w:pPr>
      <w:r>
        <w:t xml:space="preserve">Estimou-se a curva de sobrevivência pelo estimador de Kaplan-Meier, segundo uma distribuição exponencial e segundo uma distribuição Weibull. A</w:t>
      </w:r>
      <w:r>
        <w:t xml:space="preserve"> </w:t>
      </w:r>
      <w:hyperlink w:anchor="fig-CompCurvSobr">
        <w:r>
          <w:rPr>
            <w:rStyle w:val="Hyperlink"/>
          </w:rPr>
          <w:t xml:space="preserve">Figura 3.7</w:t>
        </w:r>
      </w:hyperlink>
      <w:r>
        <w:t xml:space="preserve"> </w:t>
      </w:r>
      <w:r>
        <w:t xml:space="preserve">mostra a comparação dessas estimativas.</w:t>
      </w:r>
    </w:p>
    <w:p>
      <w:pPr>
        <w:pStyle w:val="SourceCode"/>
      </w:pPr>
      <w:r>
        <w:rPr>
          <w:rStyle w:val="CommentTok"/>
        </w:rPr>
        <w:t xml:space="preserve"># -------------</w:t>
      </w:r>
      <w:r>
        <w:br/>
      </w:r>
      <w:r>
        <w:rPr>
          <w:rStyle w:val="CommentTok"/>
        </w:rPr>
        <w:t xml:space="preserve"># [3] Estimação</w:t>
      </w:r>
      <w:r>
        <w:br/>
      </w:r>
      <w:r>
        <w:rPr>
          <w:rStyle w:val="CommentTok"/>
        </w:rPr>
        <w:t xml:space="preserve"># -------------</w:t>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Estimação </w:t>
      </w:r>
      <w:r>
        <w:rPr>
          <w:rStyle w:val="OtherTok"/>
        </w:rPr>
        <w:t xml:space="preserve">=</w:t>
      </w:r>
      <w:r>
        <w:rPr>
          <w:rStyle w:val="NormalTok"/>
        </w:rPr>
        <w:t xml:space="preserve"> </w:t>
      </w:r>
      <w:r>
        <w:rPr>
          <w:rStyle w:val="StringTok"/>
        </w:rPr>
        <w:t xml:space="preserve">"Kaplan-Meier"</w:t>
      </w:r>
      <w:r>
        <w:rPr>
          <w:rStyle w:val="NormalTok"/>
        </w:rPr>
        <w:t xml:space="preserve">)</w:t>
      </w:r>
      <w:r>
        <w:br/>
      </w:r>
      <w:r>
        <w:br/>
      </w:r>
      <w:r>
        <w:br/>
      </w: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br/>
      </w:r>
      <w:r>
        <w:rPr>
          <w:rStyle w:val="NormalTok"/>
        </w:rPr>
        <w:t xml:space="preserve">                      Estimação </w:t>
      </w:r>
      <w:r>
        <w:rPr>
          <w:rStyle w:val="OtherTok"/>
        </w:rPr>
        <w:t xml:space="preserve">=</w:t>
      </w:r>
      <w:r>
        <w:rPr>
          <w:rStyle w:val="NormalTok"/>
        </w:rPr>
        <w:t xml:space="preserve"> </w:t>
      </w:r>
      <w:r>
        <w:rPr>
          <w:rStyle w:val="StringTok"/>
        </w:rPr>
        <w:t xml:space="preserve">"Distrib Exponencial"</w:t>
      </w:r>
      <w:r>
        <w:rPr>
          <w:rStyle w:val="NormalTok"/>
        </w:rPr>
        <w:t xml:space="preserve">)</w:t>
      </w:r>
      <w:r>
        <w:br/>
      </w:r>
      <w:r>
        <w:br/>
      </w: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rPr>
          <w:rStyle w:val="NormalTok"/>
        </w:rPr>
        <w:t xml:space="preserve">  </w:t>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r>
        <w:br/>
      </w:r>
      <w:r>
        <w:br/>
      </w: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br/>
      </w:r>
      <w:r>
        <w:rPr>
          <w:rStyle w:val="NormalTok"/>
        </w:rPr>
        <w:t xml:space="preserve">                       Estimação </w:t>
      </w:r>
      <w:r>
        <w:rPr>
          <w:rStyle w:val="OtherTok"/>
        </w:rPr>
        <w:t xml:space="preserve">=</w:t>
      </w:r>
      <w:r>
        <w:rPr>
          <w:rStyle w:val="NormalTok"/>
        </w:rPr>
        <w:t xml:space="preserve"> </w:t>
      </w:r>
      <w:r>
        <w:rPr>
          <w:rStyle w:val="StringTok"/>
        </w:rPr>
        <w:t xml:space="preserve">"Distrib Weibull"</w:t>
      </w:r>
      <w:r>
        <w:rPr>
          <w:rStyle w:val="NormalTok"/>
        </w:rPr>
        <w:t xml:space="preserve">)</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Estimação, </w:t>
      </w:r>
      <w:r>
        <w:rPr>
          <w:rStyle w:val="AttributeTok"/>
        </w:rPr>
        <w:t xml:space="preserve">lwd =</w:t>
      </w:r>
      <w:r>
        <w:rPr>
          <w:rStyle w:val="NormalTok"/>
        </w:rPr>
        <w:t xml:space="preserve"> Estimação))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scale_linewidth_manual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2" w:name="fig-CompCurvSobr"/>
          <w:p>
            <w:pPr>
              <w:jc w:val="center"/>
            </w:pPr>
            <w:pPr>
              <w:jc w:val="start"/>
              <w:spacing w:before="200"/>
              <w:pStyle w:val="ImageCaption"/>
            </w:pPr>
            <w:r>
              <w:t xml:space="preserve">Figura 3.7: Comparação das curvas de sobrevivência de Kaplan-Meier, Distribuição Exponencial e Distribuição Weibull.</w:t>
            </w:r>
          </w:p>
          <w:p>
            <w:pPr>
              <w:pStyle w:val="Compact"/>
              <w:jc w:val="center"/>
            </w:pPr>
            <w:r>
              <w:drawing>
                <wp:inline>
                  <wp:extent cx="4620126" cy="3696101"/>
                  <wp:effectExtent b="0" l="0" r="0" t="0"/>
                  <wp:docPr descr="" title="" id="150" name="Picture"/>
                  <a:graphic>
                    <a:graphicData uri="http://schemas.openxmlformats.org/drawingml/2006/picture">
                      <pic:pic>
                        <pic:nvPicPr>
                          <pic:cNvPr descr="CIII_TEC_PARAM_files/figure-docx/fig-CompCurvSobr-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tc>
      </w:tr>
    </w:tbl>
    <w:p>
      <w:pPr>
        <w:pStyle w:val="BodyText"/>
      </w:pPr>
      <w:r>
        <w:t xml:space="preserve">[…]</w:t>
      </w:r>
    </w:p>
    <w:bookmarkEnd w:id="153"/>
    <w:bookmarkEnd w:id="154"/>
    <w:bookmarkEnd w:id="155"/>
    <w:bookmarkStart w:id="162" w:name="modelos-de-tempo-de-vida-acelerado"/>
    <w:p>
      <w:pPr>
        <w:pStyle w:val="Heading1"/>
      </w:pPr>
      <w:r>
        <w:t xml:space="preserve">4. Modelos de Tempo de Vida Acelerado</w:t>
      </w:r>
    </w:p>
    <w:bookmarkStart w:id="156" w:name="introdução-3"/>
    <w:p>
      <w:pPr>
        <w:pStyle w:val="Heading2"/>
      </w:pPr>
      <w:r>
        <w:t xml:space="preserve">4.1 Introdução</w:t>
      </w:r>
    </w:p>
    <w:bookmarkEnd w:id="156"/>
    <w:bookmarkStart w:id="160" w:name="distribuição-exponencial-1"/>
    <w:p>
      <w:pPr>
        <w:pStyle w:val="Heading2"/>
      </w:pPr>
      <w:r>
        <w:t xml:space="preserve">4.2 Distribuição Exponencial</w:t>
      </w:r>
    </w:p>
    <w:p>
      <w:pPr>
        <w:pStyle w:val="FirstParagraph"/>
      </w:pPr>
      <w:r>
        <w:t xml:space="preserve">Em modelos de tempo de vida acelerados a distribuição exponencial tem densidade expressa por:</w:t>
      </w:r>
    </w:p>
    <w:p>
      <w:pPr>
        <w:pStyle w:val="BodyText"/>
      </w:pPr>
      <w:bookmarkStart w:id="157" w:name="eq-densitExpMTVA"/>
      <m:oMathPara>
        <m:oMathParaPr>
          <m:jc m:val="center"/>
        </m:oMathParaPr>
        <m:oMath>
          <m:r>
            <m:t>f</m:t>
          </m:r>
          <m:d>
            <m:dPr>
              <m:begChr m:val="("/>
              <m:endChr m:val=")"/>
              <m:sepChr m:val=""/>
              <m:grow/>
            </m:dPr>
            <m:e>
              <m:r>
                <m:t>t</m:t>
              </m:r>
            </m:e>
          </m:d>
          <m:r>
            <m:rPr>
              <m:sty m:val="p"/>
            </m:rPr>
            <m:t>=</m:t>
          </m:r>
          <m:r>
            <m:t>α</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4.1</m:t>
              </m:r>
            </m:e>
          </m:d>
        </m:oMath>
      </m:oMathPara>
      <w:bookmarkEnd w:id="157"/>
    </w:p>
    <w:p>
      <w:pPr>
        <w:pStyle w:val="FirstParagraph"/>
      </w:pPr>
      <w:r>
        <w:t xml:space="preserve">A partir de</w:t>
      </w:r>
      <w:r>
        <w:t xml:space="preserve"> </w:t>
      </w:r>
      <w:hyperlink w:anchor="eq-densitExpMTVA">
        <w:r>
          <w:rPr>
            <w:rStyle w:val="Hyperlink"/>
          </w:rPr>
          <w:t xml:space="preserve">Equação 4.1</w:t>
        </w:r>
      </w:hyperlink>
      <w:r>
        <w:t xml:space="preserve"> </w:t>
      </w:r>
      <w:r>
        <w:t xml:space="preserve">pode-se obter a função de sobrevivência, dada por:</w:t>
      </w:r>
    </w:p>
    <w:p>
      <w:pPr>
        <w:pStyle w:val="BodyText"/>
      </w:pPr>
      <w:bookmarkStart w:id="158" w:name="eq-StExpMTVA"/>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4.2</m:t>
              </m:r>
            </m:e>
          </m:d>
        </m:oMath>
      </m:oMathPara>
      <w:bookmarkEnd w:id="158"/>
    </w:p>
    <w:p>
      <w:pPr>
        <w:pStyle w:val="FirstParagraph"/>
      </w:pPr>
      <w:r>
        <w:t xml:space="preserve">Desta forma, é possível chegar na função de log-verossimilhança dada pela</w:t>
      </w:r>
      <w:r>
        <w:t xml:space="preserve"> </w:t>
      </w:r>
      <w:hyperlink w:anchor="eq-logVerExpMTVA">
        <w:r>
          <w:rPr>
            <w:rStyle w:val="Hyperlink"/>
          </w:rPr>
          <w:t xml:space="preserve">Equação 4.3</w:t>
        </w:r>
      </w:hyperlink>
      <w:r>
        <w:t xml:space="preserve"> </w:t>
      </w:r>
      <w:r>
        <w:t xml:space="preserve">para MTVA da distribuição exponencial.</w:t>
      </w:r>
    </w:p>
    <w:p>
      <w:pPr>
        <w:pStyle w:val="BodyText"/>
      </w:pPr>
      <w:bookmarkStart w:id="159" w:name="eq-logVerExpMTVA"/>
      <m:oMathPara>
        <m:oMathParaPr>
          <m:jc m:val="center"/>
        </m:oMathParaPr>
        <m:oMath>
          <m:r>
            <m:t>l</m:t>
          </m:r>
          <m:d>
            <m:dPr>
              <m:begChr m:val="("/>
              <m:endChr m:val=")"/>
              <m:sepChr m:val=""/>
              <m:grow/>
            </m:dPr>
            <m:e>
              <m:r>
                <m:t>θ</m:t>
              </m:r>
            </m:e>
          </m:d>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r>
            <m:t>α</m:t>
          </m:r>
          <m:nary>
            <m:naryPr>
              <m:chr m:val="∑"/>
              <m:limLoc m:val="undOvr"/>
              <m:subHide m:val="off"/>
              <m:supHide m:val="off"/>
            </m:naryPr>
            <m:sub>
              <m:r>
                <m:t>i</m:t>
              </m:r>
              <m:r>
                <m:rPr>
                  <m:sty m:val="p"/>
                </m:rPr>
                <m:t>=</m:t>
              </m:r>
              <m:r>
                <m:t>1</m:t>
              </m:r>
            </m:sub>
            <m:sup>
              <m:r>
                <m:t>n</m:t>
              </m:r>
            </m:sup>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nary>
          <m:r>
            <m:rPr>
              <m:sty m:val="p"/>
            </m:rPr>
            <m:t>,</m:t>
          </m:r>
          <m:r>
            <m:t>  </m:t>
          </m:r>
          <m:d>
            <m:dPr>
              <m:begChr m:val="("/>
              <m:endChr m:val=")"/>
              <m:sepChr m:val=""/>
              <m:grow/>
            </m:dPr>
            <m:e>
              <m:r>
                <m:t>4.3</m:t>
              </m:r>
            </m:e>
          </m:d>
        </m:oMath>
      </m:oMathPara>
      <w:bookmarkEnd w:id="159"/>
    </w:p>
    <w:p>
      <w:pPr>
        <w:pStyle w:val="FirstParagraph"/>
      </w:pPr>
      <w:r>
        <w:t xml:space="preserve">onde</w:t>
      </w:r>
      <w:r>
        <w:t xml:space="preserve"> </w:t>
      </w:r>
      <m:oMath>
        <m:r>
          <m:t>θ</m:t>
        </m:r>
        <m:r>
          <m:rPr>
            <m:sty m:val="p"/>
          </m:rPr>
          <m:t>=</m:t>
        </m:r>
        <m:d>
          <m:dPr>
            <m:begChr m:val="("/>
            <m:endChr m:val=")"/>
            <m:sepChr m:val=""/>
            <m:grow/>
          </m:dPr>
          <m:e>
            <m:r>
              <m:t>α</m:t>
            </m:r>
            <m:r>
              <m:rPr>
                <m:sty m:val="p"/>
              </m:rPr>
              <m:t>,</m:t>
            </m:r>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oMath>
      <w:r>
        <w:t xml:space="preserve">. Toma-se as derivadas parciais em relação a cada parâmetro deste modelo, desta forma, tem-se:</w:t>
      </w:r>
    </w:p>
    <w:p>
      <w:pPr>
        <w:pStyle w:val="BodyText"/>
      </w:pPr>
      <m:oMathPara>
        <m:oMathParaPr>
          <m:jc m:val="center"/>
        </m:oMathParaPr>
        <m:oMath>
          <m:f>
            <m:fPr>
              <m:type m:val="bar"/>
            </m:fPr>
            <m:num>
              <m:r>
                <m:rPr>
                  <m:sty m:val="p"/>
                </m:rPr>
                <m:t>∂</m:t>
              </m:r>
              <m:r>
                <m:t>l</m:t>
              </m:r>
              <m:d>
                <m:dPr>
                  <m:begChr m:val="("/>
                  <m:endChr m:val=")"/>
                  <m:sepChr m:val=""/>
                  <m:grow/>
                </m:dPr>
                <m:e>
                  <m:r>
                    <m:t>θ</m:t>
                  </m:r>
                </m:e>
              </m:d>
            </m:num>
            <m:den>
              <m:r>
                <m:rPr>
                  <m:sty m:val="p"/>
                </m:rPr>
                <m:t>∂</m:t>
              </m:r>
              <m:r>
                <m:t>α</m:t>
              </m:r>
            </m:den>
          </m:f>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nary>
          <m:r>
            <m:rPr>
              <m:sty m:val="p"/>
            </m:rPr>
            <m:t>,</m:t>
          </m:r>
        </m:oMath>
      </m:oMathPara>
    </w:p>
    <w:p>
      <w:pPr>
        <w:pStyle w:val="FirstParagraph"/>
      </w:pPr>
      <w:r>
        <w:t xml:space="preserve">para</w:t>
      </w:r>
      <w:r>
        <w:t xml:space="preserve"> </w:t>
      </w:r>
      <m:oMath>
        <m:sSub>
          <m:e>
            <m:r>
              <m:t>β</m:t>
            </m:r>
          </m:e>
          <m:sub>
            <m:r>
              <m:t>0</m:t>
            </m:r>
          </m:sub>
        </m:sSub>
      </m:oMath>
      <w:r>
        <w:t xml:space="preserve">, temos:</w:t>
      </w:r>
    </w:p>
    <w:p>
      <w:pPr>
        <w:pStyle w:val="BodyText"/>
      </w:pPr>
      <m:oMathPara>
        <m:oMathParaPr>
          <m:jc m:val="center"/>
        </m:oMathParaPr>
        <m:oMath>
          <m:f>
            <m:fPr>
              <m:type m:val="bar"/>
            </m:fPr>
            <m:num>
              <m:r>
                <m:rPr>
                  <m:sty m:val="p"/>
                </m:rPr>
                <m:t>∂</m:t>
              </m:r>
              <m:r>
                <m:t>l</m:t>
              </m:r>
              <m:d>
                <m:dPr>
                  <m:begChr m:val="("/>
                  <m:endChr m:val=")"/>
                  <m:sepChr m:val=""/>
                  <m:grow/>
                </m:dPr>
                <m:e>
                  <m:r>
                    <m:t>θ</m:t>
                  </m:r>
                </m:e>
              </m:d>
            </m:num>
            <m:den>
              <m:r>
                <m:rPr>
                  <m:sty m:val="p"/>
                </m:rPr>
                <m:t>∂</m:t>
              </m:r>
              <m:sSub>
                <m:e>
                  <m:r>
                    <m:t>β</m:t>
                  </m:r>
                </m:e>
                <m:sub>
                  <m:r>
                    <m:t>0</m:t>
                  </m:r>
                </m:sub>
              </m:sSub>
            </m:den>
          </m:f>
          <m:r>
            <m:rPr>
              <m:sty m:val="p"/>
            </m:rPr>
            <m:t>=</m:t>
          </m:r>
          <m:r>
            <m:t>α</m:t>
          </m:r>
          <m:nary>
            <m:naryPr>
              <m:chr m:val="∑"/>
              <m:limLoc m:val="undOvr"/>
              <m:subHide m:val="off"/>
              <m:supHide m:val="off"/>
            </m:naryPr>
            <m:sub>
              <m:r>
                <m:t>i</m:t>
              </m:r>
              <m:r>
                <m:rPr>
                  <m:sty m:val="p"/>
                </m:rPr>
                <m:t>=</m:t>
              </m:r>
              <m:r>
                <m:t>1</m:t>
              </m:r>
            </m:sub>
            <m:sup>
              <m:r>
                <m:t>n</m:t>
              </m:r>
            </m:sup>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nary>
          <m:r>
            <m:rPr>
              <m:sty m:val="p"/>
            </m:rPr>
            <m:t>.</m:t>
          </m:r>
        </m:oMath>
      </m:oMathPara>
    </w:p>
    <w:p>
      <w:pPr>
        <w:pStyle w:val="FirstParagraph"/>
      </w:pPr>
      <w:r>
        <w:t xml:space="preserve">Para qualquer outro coeficiente</w:t>
      </w:r>
      <w:r>
        <w:t xml:space="preserve"> </w:t>
      </w:r>
      <m:oMath>
        <m:sSub>
          <m:e>
            <m:r>
              <m:t>β</m:t>
            </m:r>
          </m:e>
          <m:sub>
            <m:r>
              <m:t>k</m:t>
            </m:r>
          </m:sub>
        </m:sSub>
      </m:oMath>
      <w:r>
        <w:t xml:space="preserve">, derivando, temos:</w:t>
      </w:r>
    </w:p>
    <w:p>
      <w:pPr>
        <w:pStyle w:val="BodyText"/>
      </w:pPr>
      <m:oMathPara>
        <m:oMathParaPr>
          <m:jc m:val="center"/>
        </m:oMathParaPr>
        <m:oMath>
          <m:f>
            <m:fPr>
              <m:type m:val="bar"/>
            </m:fPr>
            <m:num>
              <m:r>
                <m:rPr>
                  <m:sty m:val="p"/>
                </m:rPr>
                <m:t>∂</m:t>
              </m:r>
              <m:r>
                <m:t>l</m:t>
              </m:r>
              <m:d>
                <m:dPr>
                  <m:begChr m:val="("/>
                  <m:endChr m:val=")"/>
                  <m:sepChr m:val=""/>
                  <m:grow/>
                </m:dPr>
                <m:e>
                  <m:r>
                    <m:t>θ</m:t>
                  </m:r>
                </m:e>
              </m:d>
            </m:num>
            <m:den>
              <m:r>
                <m:rPr>
                  <m:sty m:val="p"/>
                </m:rPr>
                <m:t>∂</m:t>
              </m:r>
              <m:sSub>
                <m:e>
                  <m:r>
                    <m:t>β</m:t>
                  </m:r>
                </m:e>
                <m:sub>
                  <m:r>
                    <m:t>k</m:t>
                  </m:r>
                </m:sub>
              </m:sSub>
            </m:den>
          </m:f>
          <m:r>
            <m:rPr>
              <m:sty m:val="p"/>
            </m:rPr>
            <m:t>=</m:t>
          </m:r>
          <m:r>
            <m:rPr>
              <m:sty m:val="p"/>
            </m:rPr>
            <m:t>−</m:t>
          </m:r>
          <m:r>
            <m:t>α</m:t>
          </m:r>
          <m:nary>
            <m:naryPr>
              <m:chr m:val="∑"/>
              <m:limLoc m:val="undOvr"/>
              <m:subHide m:val="off"/>
              <m:supHide m:val="off"/>
            </m:naryPr>
            <m:sub>
              <m:r>
                <m:t>i</m:t>
              </m:r>
              <m:r>
                <m:rPr>
                  <m:sty m:val="p"/>
                </m:rPr>
                <m:t>=</m:t>
              </m:r>
              <m:r>
                <m:t>1</m:t>
              </m:r>
            </m:sub>
            <m:sup>
              <m:r>
                <m:t>n</m:t>
              </m:r>
            </m:sup>
            <m:e>
              <m:f>
                <m:fPr>
                  <m:type m:val="bar"/>
                </m:fPr>
                <m:num>
                  <m:r>
                    <m:rPr>
                      <m:sty m:val="p"/>
                    </m:rPr>
                    <m:t>∂</m:t>
                  </m:r>
                </m:num>
                <m:den>
                  <m:r>
                    <m:rPr>
                      <m:sty m:val="p"/>
                    </m:rPr>
                    <m:t>∂</m:t>
                  </m:r>
                  <m:sSub>
                    <m:e>
                      <m:r>
                        <m:t>β</m:t>
                      </m:r>
                    </m:e>
                    <m:sub>
                      <m:r>
                        <m:t>k</m:t>
                      </m:r>
                    </m:sub>
                  </m:sSub>
                </m:den>
              </m:f>
            </m:e>
          </m:nary>
          <m:d>
            <m:dPr>
              <m:begChr m:val="["/>
              <m:endChr m:val="]"/>
              <m:sepChr m:val=""/>
              <m:grow/>
            </m:dPr>
            <m:e>
              <m:f>
                <m:fPr>
                  <m:type m:val="bar"/>
                </m:fPr>
                <m:num>
                  <m:sSub>
                    <m:e>
                      <m:r>
                        <m:t>t</m:t>
                      </m:r>
                    </m:e>
                    <m:sub>
                      <m:r>
                        <m:t>i</m:t>
                      </m:r>
                    </m:sub>
                  </m:sSub>
                </m:num>
                <m:den>
                  <m:r>
                    <m:rPr>
                      <m:sty m:val="p"/>
                    </m:rPr>
                    <m:t>exp</m:t>
                  </m:r>
                  <m:r>
                    <m:rPr>
                      <m:sty m:val="p"/>
                    </m:rPr>
                    <m:t>{</m:t>
                  </m:r>
                  <m:r>
                    <m:rPr>
                      <m:sty m:val="b"/>
                    </m:rPr>
                    <m:t>x</m:t>
                  </m:r>
                  <m:r>
                    <m:rPr>
                      <m:sty m:val="b"/>
                    </m:rPr>
                    <m:t>′</m:t>
                  </m:r>
                  <m:r>
                    <m:rPr>
                      <m:sty m:val="b"/>
                    </m:rPr>
                    <m:t>β</m:t>
                  </m:r>
                  <m:r>
                    <m:rPr>
                      <m:sty m:val="p"/>
                    </m:rPr>
                    <m:t>}</m:t>
                  </m:r>
                </m:den>
              </m:f>
            </m:e>
          </m:d>
          <m:r>
            <m:rPr>
              <m:sty m:val="p"/>
            </m:rPr>
            <m:t>=</m:t>
          </m:r>
          <m:r>
            <m:rPr>
              <m:sty m:val="p"/>
            </m:rPr>
            <m:t>−</m:t>
          </m:r>
          <m:r>
            <m:t>α</m:t>
          </m:r>
          <m:nary>
            <m:naryPr>
              <m:chr m:val="∑"/>
              <m:limLoc m:val="undOvr"/>
              <m:subHide m:val="off"/>
              <m:supHide m:val="off"/>
            </m:naryPr>
            <m:sub>
              <m:r>
                <m:t>i</m:t>
              </m:r>
              <m:r>
                <m:rPr>
                  <m:sty m:val="p"/>
                </m:rPr>
                <m:t>=</m:t>
              </m:r>
              <m:r>
                <m:t>1</m:t>
              </m:r>
            </m:sub>
            <m:sup>
              <m:r>
                <m:t>n</m:t>
              </m:r>
            </m:sup>
            <m:e>
              <m:r>
                <m:rPr>
                  <m:sty m:val="p"/>
                </m:rPr>
                <m:t>−</m:t>
              </m:r>
            </m:e>
          </m:nary>
          <m:f>
            <m:fPr>
              <m:type m:val="bar"/>
            </m:fPr>
            <m:num>
              <m:sSub>
                <m:e>
                  <m:r>
                    <m:t>t</m:t>
                  </m:r>
                </m:e>
                <m:sub>
                  <m:r>
                    <m:t>i</m:t>
                  </m:r>
                </m:sub>
              </m:sSub>
              <m:sSub>
                <m:e>
                  <m:r>
                    <m:t>x</m:t>
                  </m:r>
                </m:e>
                <m:sub>
                  <m:r>
                    <m:t>k</m:t>
                  </m:r>
                  <m:r>
                    <m:t>i</m:t>
                  </m:r>
                </m:sub>
              </m:sSub>
            </m:num>
            <m:den>
              <m:r>
                <m:rPr>
                  <m:sty m:val="p"/>
                </m:rPr>
                <m:t>exp</m:t>
              </m:r>
              <m:r>
                <m:rPr>
                  <m:sty m:val="p"/>
                </m:rPr>
                <m:t>{</m:t>
              </m:r>
              <m:r>
                <m:rPr>
                  <m:sty m:val="b"/>
                </m:rPr>
                <m:t>x</m:t>
              </m:r>
              <m:r>
                <m:rPr>
                  <m:sty m:val="b"/>
                </m:rPr>
                <m:t>′</m:t>
              </m:r>
              <m:r>
                <m:rPr>
                  <m:sty m:val="b"/>
                </m:rPr>
                <m:t>β</m:t>
              </m:r>
              <m:r>
                <m:rPr>
                  <m:sty m:val="p"/>
                </m:rPr>
                <m:t>}</m:t>
              </m:r>
            </m:den>
          </m:f>
          <m:r>
            <m:rPr>
              <m:sty m:val="p"/>
            </m:rPr>
            <m:t>=</m:t>
          </m:r>
          <m:r>
            <m:t>α</m:t>
          </m:r>
          <m:nary>
            <m:naryPr>
              <m:chr m:val="∑"/>
              <m:limLoc m:val="undOvr"/>
              <m:subHide m:val="off"/>
              <m:supHide m:val="off"/>
            </m:naryPr>
            <m:sub>
              <m:r>
                <m:t>i</m:t>
              </m:r>
              <m:r>
                <m:rPr>
                  <m:sty m:val="p"/>
                </m:rPr>
                <m:t>=</m:t>
              </m:r>
              <m:r>
                <m:t>1</m:t>
              </m:r>
            </m:sub>
            <m:sup>
              <m:r>
                <m:t>n</m:t>
              </m:r>
            </m:sup>
            <m:e>
              <m:f>
                <m:fPr>
                  <m:type m:val="bar"/>
                </m:fPr>
                <m:num>
                  <m:sSub>
                    <m:e>
                      <m:r>
                        <m:t>t</m:t>
                      </m:r>
                    </m:e>
                    <m:sub>
                      <m:r>
                        <m:t>i</m:t>
                      </m:r>
                    </m:sub>
                  </m:sSub>
                  <m:sSub>
                    <m:e>
                      <m:r>
                        <m:t>x</m:t>
                      </m:r>
                    </m:e>
                    <m:sub>
                      <m:r>
                        <m:t>k</m:t>
                      </m:r>
                      <m:r>
                        <m:t>i</m:t>
                      </m:r>
                    </m:sub>
                  </m:sSub>
                </m:num>
                <m:den>
                  <m:r>
                    <m:rPr>
                      <m:sty m:val="p"/>
                    </m:rPr>
                    <m:t>exp</m:t>
                  </m:r>
                  <m:r>
                    <m:rPr>
                      <m:sty m:val="p"/>
                    </m:rPr>
                    <m:t>{</m:t>
                  </m:r>
                  <m:r>
                    <m:rPr>
                      <m:sty m:val="b"/>
                    </m:rPr>
                    <m:t>x</m:t>
                  </m:r>
                  <m:r>
                    <m:rPr>
                      <m:sty m:val="b"/>
                    </m:rPr>
                    <m:t>′</m:t>
                  </m:r>
                  <m:r>
                    <m:rPr>
                      <m:sty m:val="b"/>
                    </m:rPr>
                    <m:t>β</m:t>
                  </m:r>
                  <m:r>
                    <m:rPr>
                      <m:sty m:val="p"/>
                    </m:rPr>
                    <m:t>}</m:t>
                  </m:r>
                </m:den>
              </m:f>
            </m:e>
          </m:nary>
          <m:r>
            <m:rPr>
              <m:sty m:val="p"/>
            </m:rPr>
            <m:t>.</m:t>
          </m:r>
        </m:oMath>
      </m:oMathPara>
    </w:p>
    <w:p>
      <w:pPr>
        <w:pStyle w:val="FirstParagraph"/>
      </w:pPr>
      <w:r>
        <w:t xml:space="preserve">Para obter as estimativas para o vetor de parâmetros</w:t>
      </w:r>
      <w:r>
        <w:t xml:space="preserve"> </w:t>
      </w:r>
      <m:oMath>
        <m:r>
          <m:t>θ</m:t>
        </m:r>
      </m:oMath>
      <w:r>
        <w:t xml:space="preserve"> </w:t>
      </w:r>
      <w:r>
        <w:t xml:space="preserve">temos que utilizar algum método numérico, pois não a solução análitico para as funções (não lineares) resultantes das derivadas.</w:t>
      </w:r>
    </w:p>
    <w:bookmarkEnd w:id="160"/>
    <w:bookmarkStart w:id="161" w:name="distribuição-weibull-1"/>
    <w:p>
      <w:pPr>
        <w:pStyle w:val="Heading2"/>
      </w:pPr>
      <w:r>
        <w:t xml:space="preserve">4.3 Distribuição Weibull</w:t>
      </w:r>
    </w:p>
    <w:bookmarkEnd w:id="161"/>
    <w:bookmarkEnd w:id="162"/>
    <w:bookmarkStart w:id="197" w:name="referêcias"/>
    <w:p>
      <w:pPr>
        <w:pStyle w:val="Heading1"/>
      </w:pPr>
      <w:r>
        <w:t xml:space="preserve">Referêcias</w:t>
      </w:r>
    </w:p>
    <w:bookmarkStart w:id="196" w:name="refs"/>
    <w:bookmarkStart w:id="164"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63">
        <w:r>
          <w:rPr>
            <w:rStyle w:val="Hyperlink"/>
          </w:rPr>
          <w:t xml:space="preserve">https://doi.org/10.1214/aos/1176344247</w:t>
        </w:r>
      </w:hyperlink>
      <w:r>
        <w:t xml:space="preserve">.</w:t>
      </w:r>
    </w:p>
    <w:bookmarkEnd w:id="164"/>
    <w:bookmarkStart w:id="165"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65"/>
    <w:bookmarkStart w:id="167"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66">
        <w:r>
          <w:rPr>
            <w:rStyle w:val="Hyperlink"/>
          </w:rPr>
          <w:t xml:space="preserve">https://doi.org/10.1109/24.293488</w:t>
        </w:r>
      </w:hyperlink>
      <w:r>
        <w:t xml:space="preserve">.</w:t>
      </w:r>
    </w:p>
    <w:bookmarkEnd w:id="167"/>
    <w:bookmarkStart w:id="169"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68">
        <w:r>
          <w:rPr>
            <w:rStyle w:val="Hyperlink"/>
          </w:rPr>
          <w:t xml:space="preserve">https://doi.org/10.1214/aos/1176342705</w:t>
        </w:r>
      </w:hyperlink>
      <w:r>
        <w:t xml:space="preserve">.</w:t>
      </w:r>
    </w:p>
    <w:bookmarkEnd w:id="169"/>
    <w:bookmarkStart w:id="170"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70"/>
    <w:bookmarkStart w:id="171"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71"/>
    <w:bookmarkStart w:id="173"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72">
        <w:r>
          <w:rPr>
            <w:rStyle w:val="Hyperlink"/>
          </w:rPr>
          <w:t xml:space="preserve">https://doi.org/10.2307/2333825</w:t>
        </w:r>
      </w:hyperlink>
      <w:r>
        <w:t xml:space="preserve">.</w:t>
      </w:r>
    </w:p>
    <w:bookmarkEnd w:id="173"/>
    <w:bookmarkStart w:id="174"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74"/>
    <w:bookmarkStart w:id="176"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75">
        <w:r>
          <w:rPr>
            <w:rStyle w:val="Hyperlink"/>
          </w:rPr>
          <w:t xml:space="preserve">https://doi.org/10.1080/01621459.1958.10501452</w:t>
        </w:r>
      </w:hyperlink>
      <w:r>
        <w:t xml:space="preserve">.</w:t>
      </w:r>
    </w:p>
    <w:bookmarkEnd w:id="176"/>
    <w:bookmarkStart w:id="178"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77">
        <w:r>
          <w:rPr>
            <w:rStyle w:val="Hyperlink"/>
          </w:rPr>
          <w:t xml:space="preserve">https://doi.org/10.2307/4616203</w:t>
        </w:r>
      </w:hyperlink>
      <w:r>
        <w:t xml:space="preserve">.</w:t>
      </w:r>
    </w:p>
    <w:bookmarkEnd w:id="178"/>
    <w:bookmarkStart w:id="180"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79">
        <w:r>
          <w:rPr>
            <w:rStyle w:val="Hyperlink"/>
          </w:rPr>
          <w:t xml:space="preserve">https://doi.org/10.2307/2287572</w:t>
        </w:r>
      </w:hyperlink>
      <w:r>
        <w:t xml:space="preserve">.</w:t>
      </w:r>
    </w:p>
    <w:bookmarkEnd w:id="180"/>
    <w:bookmarkStart w:id="181"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181"/>
    <w:bookmarkStart w:id="183"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182">
        <w:r>
          <w:rPr>
            <w:rStyle w:val="Hyperlink"/>
          </w:rPr>
          <w:t xml:space="preserve">https://doi.org/10.1002/(SICI)1097-0258(19980130)17:2&lt;219::AID-SIM735&gt;3.0.CO;2-D</w:t>
        </w:r>
      </w:hyperlink>
      <w:r>
        <w:t xml:space="preserve">.</w:t>
      </w:r>
    </w:p>
    <w:bookmarkEnd w:id="183"/>
    <w:bookmarkStart w:id="184"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184"/>
    <w:bookmarkStart w:id="185"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185"/>
    <w:bookmarkStart w:id="187"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186">
        <w:r>
          <w:rPr>
            <w:rStyle w:val="Hyperlink"/>
          </w:rPr>
          <w:t xml:space="preserve">https://doi.org/10.1080/01621459.1975.10479872</w:t>
        </w:r>
      </w:hyperlink>
      <w:r>
        <w:t xml:space="preserve">.</w:t>
      </w:r>
    </w:p>
    <w:bookmarkEnd w:id="187"/>
    <w:bookmarkStart w:id="189"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188">
        <w:r>
          <w:rPr>
            <w:rStyle w:val="Hyperlink"/>
          </w:rPr>
          <w:t xml:space="preserve">https://doi.org/10.1080/00401706.1972.10488981</w:t>
        </w:r>
      </w:hyperlink>
      <w:r>
        <w:t xml:space="preserve">.</w:t>
      </w:r>
    </w:p>
    <w:bookmarkEnd w:id="189"/>
    <w:bookmarkStart w:id="191"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190">
        <w:r>
          <w:rPr>
            <w:rStyle w:val="Hyperlink"/>
          </w:rPr>
          <w:t xml:space="preserve">https://doi.org/10.2307/2344317</w:t>
        </w:r>
      </w:hyperlink>
      <w:r>
        <w:t xml:space="preserve">.</w:t>
      </w:r>
    </w:p>
    <w:bookmarkEnd w:id="191"/>
    <w:bookmarkStart w:id="193"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192">
        <w:r>
          <w:rPr>
            <w:rStyle w:val="Hyperlink"/>
          </w:rPr>
          <w:t xml:space="preserve">https://doi.org/10.2307/2335206</w:t>
        </w:r>
      </w:hyperlink>
      <w:r>
        <w:t xml:space="preserve">.</w:t>
      </w:r>
    </w:p>
    <w:bookmarkEnd w:id="193"/>
    <w:bookmarkStart w:id="195"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194">
        <w:r>
          <w:rPr>
            <w:rStyle w:val="Hyperlink"/>
          </w:rPr>
          <w:t xml:space="preserve">https://doi.org/10.1080/01621459.1974.10480146</w:t>
        </w:r>
      </w:hyperlink>
      <w:r>
        <w:t xml:space="preserve">.</w:t>
      </w:r>
    </w:p>
    <w:bookmarkEnd w:id="195"/>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 Target="media/rId149.png"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45" Target="media/rId145.png" /><Relationship Type="http://schemas.openxmlformats.org/officeDocument/2006/relationships/image" Id="rId45" Target="media/rId45.png" /><Relationship Type="http://schemas.openxmlformats.org/officeDocument/2006/relationships/hyperlink" Id="rId182" Target="https://doi.org/10.1002/(SICI)1097-0258(19980130)17:2&lt;219::AID-SIM735&gt;3.0.CO;2-D" TargetMode="External" /><Relationship Type="http://schemas.openxmlformats.org/officeDocument/2006/relationships/hyperlink" Id="rId188" Target="https://doi.org/10.1080/00401706.1972.10488981" TargetMode="External" /><Relationship Type="http://schemas.openxmlformats.org/officeDocument/2006/relationships/hyperlink" Id="rId175" Target="https://doi.org/10.1080/01621459.1958.10501452" TargetMode="External" /><Relationship Type="http://schemas.openxmlformats.org/officeDocument/2006/relationships/hyperlink" Id="rId194" Target="https://doi.org/10.1080/01621459.1974.10480146" TargetMode="External" /><Relationship Type="http://schemas.openxmlformats.org/officeDocument/2006/relationships/hyperlink" Id="rId186" Target="https://doi.org/10.1080/01621459.1975.10479872" TargetMode="External" /><Relationship Type="http://schemas.openxmlformats.org/officeDocument/2006/relationships/hyperlink" Id="rId166" Target="https://doi.org/10.1109/24.293488" TargetMode="External" /><Relationship Type="http://schemas.openxmlformats.org/officeDocument/2006/relationships/hyperlink" Id="rId168" Target="https://doi.org/10.1214/aos/1176342705" TargetMode="External" /><Relationship Type="http://schemas.openxmlformats.org/officeDocument/2006/relationships/hyperlink" Id="rId163" Target="https://doi.org/10.1214/aos/1176344247" TargetMode="External" /><Relationship Type="http://schemas.openxmlformats.org/officeDocument/2006/relationships/hyperlink" Id="rId179" Target="https://doi.org/10.2307/2287572" TargetMode="External" /><Relationship Type="http://schemas.openxmlformats.org/officeDocument/2006/relationships/hyperlink" Id="rId172" Target="https://doi.org/10.2307/2333825" TargetMode="External" /><Relationship Type="http://schemas.openxmlformats.org/officeDocument/2006/relationships/hyperlink" Id="rId192" Target="https://doi.org/10.2307/2335206" TargetMode="External" /><Relationship Type="http://schemas.openxmlformats.org/officeDocument/2006/relationships/hyperlink" Id="rId190" Target="https://doi.org/10.2307/2344317" TargetMode="External" /><Relationship Type="http://schemas.openxmlformats.org/officeDocument/2006/relationships/hyperlink" Id="rId177"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182" Target="https://doi.org/10.1002/(SICI)1097-0258(19980130)17:2&lt;219::AID-SIM735&gt;3.0.CO;2-D" TargetMode="External" /><Relationship Type="http://schemas.openxmlformats.org/officeDocument/2006/relationships/hyperlink" Id="rId188" Target="https://doi.org/10.1080/00401706.1972.10488981" TargetMode="External" /><Relationship Type="http://schemas.openxmlformats.org/officeDocument/2006/relationships/hyperlink" Id="rId175" Target="https://doi.org/10.1080/01621459.1958.10501452" TargetMode="External" /><Relationship Type="http://schemas.openxmlformats.org/officeDocument/2006/relationships/hyperlink" Id="rId194" Target="https://doi.org/10.1080/01621459.1974.10480146" TargetMode="External" /><Relationship Type="http://schemas.openxmlformats.org/officeDocument/2006/relationships/hyperlink" Id="rId186" Target="https://doi.org/10.1080/01621459.1975.10479872" TargetMode="External" /><Relationship Type="http://schemas.openxmlformats.org/officeDocument/2006/relationships/hyperlink" Id="rId166" Target="https://doi.org/10.1109/24.293488" TargetMode="External" /><Relationship Type="http://schemas.openxmlformats.org/officeDocument/2006/relationships/hyperlink" Id="rId168" Target="https://doi.org/10.1214/aos/1176342705" TargetMode="External" /><Relationship Type="http://schemas.openxmlformats.org/officeDocument/2006/relationships/hyperlink" Id="rId163" Target="https://doi.org/10.1214/aos/1176344247" TargetMode="External" /><Relationship Type="http://schemas.openxmlformats.org/officeDocument/2006/relationships/hyperlink" Id="rId179" Target="https://doi.org/10.2307/2287572" TargetMode="External" /><Relationship Type="http://schemas.openxmlformats.org/officeDocument/2006/relationships/hyperlink" Id="rId172" Target="https://doi.org/10.2307/2333825" TargetMode="External" /><Relationship Type="http://schemas.openxmlformats.org/officeDocument/2006/relationships/hyperlink" Id="rId192" Target="https://doi.org/10.2307/2335206" TargetMode="External" /><Relationship Type="http://schemas.openxmlformats.org/officeDocument/2006/relationships/hyperlink" Id="rId190" Target="https://doi.org/10.2307/2344317" TargetMode="External" /><Relationship Type="http://schemas.openxmlformats.org/officeDocument/2006/relationships/hyperlink" Id="rId177"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2025-02-03T23:13:07Z</dcterms:created>
  <dcterms:modified xsi:type="dcterms:W3CDTF">2025-02-03T23:13:07Z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