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19.png" ContentType="image/png"/>
  <Override PartName="/word/media/rId110.png" ContentType="image/png"/>
  <Override PartName="/word/media/rId93.png" ContentType="image/png"/>
  <Override PartName="/word/media/rId75.png" ContentType="image/png"/>
  <Override PartName="/word/media/rId71.png" ContentType="image/png"/>
  <Override PartName="/word/media/rId106.png" ContentType="image/png"/>
  <Override PartName="/word/media/rId89.png" ContentType="image/png"/>
  <Override PartName="/word/media/rId67.png" ContentType="image/png"/>
  <Override PartName="/word/media/rId102.png" ContentType="image/png"/>
  <Override PartName="/word/media/rId85.png" ContentType="image/png"/>
  <Override PartName="/word/media/rId132.png" ContentType="image/png"/>
  <Override PartName="/word/media/rId135.png" ContentType="image/png"/>
  <Override PartName="/word/media/rId138.png" ContentType="image/png"/>
  <Override PartName="/word/media/rId141.png" ContentType="image/png"/>
  <Override PartName="/word/media/rId14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2024-01-25</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w:t>
      </w:r>
    </w:p>
    <w:p>
      <w:pPr>
        <w:pStyle w:val="BodyText"/>
      </w:pPr>
      <w:r>
        <w:t xml:space="preserve">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r>
              <m:rPr>
                <m:sty m:val="b"/>
              </m:rPr>
              <m:t>x</m:t>
            </m:r>
            <m:r>
              <m:t>i</m:t>
            </m:r>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odyText"/>
      </w:pPr>
      <w:r>
        <w:t xml:space="preserve">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60"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"Fonte: https://docs.ufpr.br/~giolo/asa/dados/leucemia.txt"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EstimNao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aprenseta,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9" w:name="comparação-de-curvas-de-sobrevivência"/>
    <w:p>
      <w:pPr>
        <w:pStyle w:val="Heading2"/>
      </w:pPr>
      <w:r>
        <w:t xml:space="preserve">2.4 Comparação de Curvas de Sobrevivência</w:t>
      </w:r>
    </w:p>
    <w:p>
      <w:pPr>
        <w:pStyle w:val="FirstParagraph"/>
      </w:pPr>
      <w:r>
        <w:t xml:space="preserve">Considere um problema na área da saúde em que se deseja comparar dois grupos: um que receberá tratamento com uma determinada droga e outro que será o grupo controle. Estatísticas amplamente utilizadas para esse fim podem ser vistas como generalizações, para dados censurados, de testes não paramétricos bem conhecidos. Entre esses, o teste</w:t>
      </w:r>
      <w:r>
        <w:t xml:space="preserve"> </w:t>
      </w:r>
      <w:r>
        <w:rPr>
          <w:i/>
          <w:iCs/>
        </w:rPr>
        <w:t xml:space="preserve">logrank</w:t>
      </w:r>
      <w:r>
        <w:t xml:space="preserve"> </w:t>
      </w:r>
      <w:r>
        <w:t xml:space="preserve">(Mantel 1966)</w:t>
      </w:r>
      <w:r>
        <w:t xml:space="preserve"> </w:t>
      </w:r>
      <w:r>
        <w:t xml:space="preserve">é o mais empregado em análises de sobrevivência.</w:t>
      </w:r>
      <w:r>
        <w:t xml:space="preserve"> </w:t>
      </w:r>
      <w:r>
        <w:t xml:space="preserve">Gehan (1965)</w:t>
      </w:r>
      <w:r>
        <w:t xml:space="preserve"> </w:t>
      </w:r>
      <w:r>
        <w:t xml:space="preserve">propôs uma generalização para a estatística de Wilcoxon. Outras generalizações foram introduzidas por autores como</w:t>
      </w:r>
      <w:r>
        <w:t xml:space="preserve"> </w:t>
      </w:r>
      <w:r>
        <w:t xml:space="preserve">Peto e Peto (1972)</w:t>
      </w:r>
      <w:r>
        <w:t xml:space="preserve"> </w:t>
      </w:r>
      <w:r>
        <w:t xml:space="preserve">e</w:t>
      </w:r>
      <w:r>
        <w:t xml:space="preserve"> </w:t>
      </w:r>
      <w:r>
        <w:t xml:space="preserve">Prentice (1978)</w:t>
      </w:r>
      <w:r>
        <w:t xml:space="preserve">, enquanto</w:t>
      </w:r>
      <w:r>
        <w:t xml:space="preserve"> </w:t>
      </w:r>
      <w:r>
        <w:t xml:space="preserve">Latta (1981)</w:t>
      </w:r>
      <w:r>
        <w:t xml:space="preserve"> </w:t>
      </w:r>
      <w:r>
        <w:t xml:space="preserve">utilizou simulações de Monte Carlo para comparar diversos testes não-paramétricos.</w:t>
      </w:r>
    </w:p>
    <w:p>
      <w:pPr>
        <w:pStyle w:val="BodyText"/>
      </w:pPr>
      <w:r>
        <w:t xml:space="preserve">Nesta seção, será dada ênfase ao teste</w:t>
      </w:r>
      <w:r>
        <w:t xml:space="preserve"> </w:t>
      </w:r>
      <w:r>
        <w:rPr>
          <w:i/>
          <w:iCs/>
        </w:rPr>
        <w:t xml:space="preserve">logrank</w:t>
      </w:r>
      <w:r>
        <w:t xml:space="preserve">, amplamente utilizado em análises de sobrevivência e particularmente adequado quando a razão entre as funções de risco dos grupos a serem comparados é aproximadamente constante. Ou seja, quando as populações apresentam a propriedade de riscos proporcionais.</w:t>
      </w:r>
    </w:p>
    <w:p>
      <w:pPr>
        <w:pStyle w:val="BodyText"/>
      </w:pPr>
      <w:r>
        <w:t xml:space="preserve">A estatística do teste</w:t>
      </w:r>
      <w:r>
        <w:t xml:space="preserve"> </w:t>
      </w:r>
      <w:r>
        <w:rPr>
          <w:i/>
          <w:iCs/>
        </w:rPr>
        <w:t xml:space="preserve">logrank</w:t>
      </w:r>
      <w:r>
        <w:t xml:space="preserve"> </w:t>
      </w:r>
      <w:r>
        <w:t xml:space="preserve">baseia-se na diferença entre o número observado de falhas em cada grupo e o número esperado de falhas sob a hipótese nula. Essa abordagem é semelhante à do teste de</w:t>
      </w:r>
      <w:r>
        <w:t xml:space="preserve"> </w:t>
      </w:r>
      <w:r>
        <w:t xml:space="preserve">Mantel e Haenszel (1959)</w:t>
      </w:r>
      <w:r>
        <w:t xml:space="preserve">, que combina tabelas de contingência. Além disso, o teste</w:t>
      </w:r>
      <w:r>
        <w:t xml:space="preserve"> </w:t>
      </w:r>
      <w:r>
        <w:rPr>
          <w:i/>
          <w:iCs/>
        </w:rPr>
        <w:t xml:space="preserve">logrank</w:t>
      </w:r>
      <w:r>
        <w:t xml:space="preserve"> </w:t>
      </w:r>
      <w:r>
        <w:t xml:space="preserve">possui a mesma expressão do teste de escore para o modelo de regressão de Cox, que será apresentado no […]. Outros testes também serão discutidos nesta seção.</w:t>
      </w:r>
    </w:p>
    <w:p>
      <w:pPr>
        <w:pStyle w:val="BodyText"/>
      </w:pPr>
      <w:r>
        <w:t xml:space="preserve">Considere, inicialmente, o teste de igualdade entre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a sequência dos tempos de falha distintos observados na amostra combinada, formada pela união das duas amostras individuais. Suponha que, no tempo</w:t>
      </w:r>
      <w:r>
        <w:t xml:space="preserve"> </w:t>
      </w:r>
      <m:oMath>
        <m:sSub>
          <m:e>
            <m:r>
              <m:t>t</m:t>
            </m:r>
          </m:e>
          <m:sub>
            <m:r>
              <m:t>j</m:t>
            </m:r>
          </m:sub>
        </m:sSub>
      </m:oMath>
      <w:r>
        <w:t xml:space="preserve">, ocorram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imediatamente antes de</w:t>
      </w:r>
      <w:r>
        <w:t xml:space="preserve"> </w:t>
      </w:r>
      <m:oMath>
        <m:sSub>
          <m:e>
            <m:r>
              <m:t>t</m:t>
            </m:r>
          </m:e>
          <m:sub>
            <m:r>
              <m:t>j</m:t>
            </m:r>
          </m:sub>
        </m:sSub>
      </m:oMath>
      <w:r>
        <w:t xml:space="preserve"> </w:t>
      </w:r>
      <w:r>
        <w:t xml:space="preserve">na amostra combinada. Nas amostras individuais, as quantidades correspondentes são</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onde</w:t>
      </w:r>
      <w:r>
        <w:t xml:space="preserve"> </w:t>
      </w:r>
      <m:oMath>
        <m:r>
          <m:t>i</m:t>
        </m:r>
        <m:r>
          <m:rPr>
            <m:sty m:val="p"/>
          </m:rPr>
          <m:t>=</m:t>
        </m:r>
        <m:r>
          <m:t>1</m:t>
        </m:r>
        <m:r>
          <m:rPr>
            <m:sty m:val="p"/>
          </m:rPr>
          <m:t>,</m:t>
        </m:r>
        <m:r>
          <m:t>2</m:t>
        </m:r>
      </m:oMath>
      <w:r>
        <w:t xml:space="preserve"> </w:t>
      </w:r>
      <w:r>
        <w:t xml:space="preserve">representa o grupo e</w:t>
      </w:r>
      <w:r>
        <w:t xml:space="preserve"> </w:t>
      </w:r>
      <m:oMath>
        <m:r>
          <m:t>j</m:t>
        </m:r>
        <m:r>
          <m:rPr>
            <m:sty m:val="p"/>
          </m:rPr>
          <m:t>=</m:t>
        </m:r>
        <m:r>
          <m:t>1</m:t>
        </m:r>
        <m:r>
          <m:rPr>
            <m:sty m:val="p"/>
          </m:rPr>
          <m:t>,</m:t>
        </m:r>
        <m:r>
          <m:rPr>
            <m:sty m:val="p"/>
          </m:rPr>
          <m:t>⋯</m:t>
        </m:r>
        <m:r>
          <m:rPr>
            <m:sty m:val="p"/>
          </m:rPr>
          <m:t>,</m:t>
        </m:r>
        <m:r>
          <m:t>k</m:t>
        </m:r>
      </m:oMath>
      <w:r>
        <w:t xml:space="preserve"> </w:t>
      </w:r>
      <w:r>
        <w:t xml:space="preserve">indica o tempo de falha.</w:t>
      </w:r>
    </w:p>
    <w:p>
      <w:pPr>
        <w:pStyle w:val="BodyText"/>
      </w:pPr>
      <w:r>
        <w:t xml:space="preserve">No tempo</w:t>
      </w:r>
      <w:r>
        <w:t xml:space="preserve"> </w:t>
      </w:r>
      <m:oMath>
        <m:sSub>
          <m:e>
            <m:r>
              <m:t>t</m:t>
            </m:r>
          </m:e>
          <m:sub>
            <m:r>
              <m:t>j</m:t>
            </m:r>
          </m:sub>
        </m:sSub>
      </m:oMath>
      <w:r>
        <w:t xml:space="preserve">, os dados podem ser organizados em uma tabela de contingência</w:t>
      </w:r>
      <w:r>
        <w:t xml:space="preserve"> </w:t>
      </w:r>
      <m:oMath>
        <m:r>
          <m:t>2</m:t>
        </m:r>
        <m:r>
          <m:rPr>
            <m:sty m:val="p"/>
          </m:rPr>
          <m:t>×</m:t>
        </m:r>
        <m:r>
          <m:t>2</m:t>
        </m:r>
      </m:oMath>
      <w:r>
        <w:t xml:space="preserve">, onde</w:t>
      </w:r>
      <w:r>
        <w:t xml:space="preserve"> </w:t>
      </w:r>
      <m:oMath>
        <m:sSub>
          <m:e>
            <m:r>
              <m:t>d</m:t>
            </m:r>
          </m:e>
          <m:sub>
            <m:r>
              <m:t>i</m:t>
            </m:r>
            <m:r>
              <m:t>j</m:t>
            </m:r>
          </m:sub>
        </m:sSub>
      </m:oMath>
      <w:r>
        <w:t xml:space="preserve"> </w:t>
      </w:r>
      <w:r>
        <w:t xml:space="preserve">representa o número de falhas e</w:t>
      </w:r>
      <w:r>
        <w:t xml:space="preserve"> </w:t>
      </w:r>
      <m:oMath>
        <m:sSub>
          <m:e>
            <m:r>
              <m:t>n</m:t>
            </m:r>
          </m:e>
          <m:sub>
            <m:r>
              <m:t>i</m:t>
            </m:r>
            <m:r>
              <m:t>j</m:t>
            </m:r>
          </m:sub>
        </m:sSub>
        <m:r>
          <m:rPr>
            <m:sty m:val="p"/>
          </m:rPr>
          <m:t>−</m:t>
        </m:r>
        <m:sSub>
          <m:e>
            <m:r>
              <m:t>d</m:t>
            </m:r>
          </m:e>
          <m:sub>
            <m:r>
              <m:t>i</m:t>
            </m:r>
            <m:r>
              <m:t>j</m:t>
            </m:r>
          </m:sub>
        </m:sSub>
      </m:oMath>
      <w:r>
        <w:t xml:space="preserve"> </w:t>
      </w:r>
      <w:r>
        <w:t xml:space="preserve">o número de sobreviventes em cada grupo</w:t>
      </w:r>
      <w:r>
        <w:t xml:space="preserve"> </w:t>
      </w:r>
      <m:oMath>
        <m:r>
          <m:t>i</m:t>
        </m:r>
      </m:oMath>
      <w:r>
        <w:t xml:space="preserve">. Essa disposição está ilustrada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Condicionado à ocorrência de falhas e censuras até o tempo</w:t>
      </w:r>
      <w:r>
        <w:t xml:space="preserve"> </w:t>
      </w:r>
      <m:oMath>
        <m:sSub>
          <m:e>
            <m:r>
              <m:t>t</m:t>
            </m:r>
          </m:e>
          <m:sub>
            <m:r>
              <m:t>j</m:t>
            </m:r>
          </m:sub>
        </m:sSub>
      </m:oMath>
      <w:r>
        <w:t xml:space="preserve"> </w:t>
      </w:r>
      <w:r>
        <w:t xml:space="preserve">(fixando as marginais das colunas) e ao número total de falhas no tempo</w:t>
      </w:r>
      <w:r>
        <w:t xml:space="preserve"> </w:t>
      </w:r>
      <m:oMath>
        <m:sSub>
          <m:e>
            <m:r>
              <m:t>t</m:t>
            </m:r>
          </m:e>
          <m:sub>
            <m:r>
              <m:t>j</m:t>
            </m:r>
          </m:sub>
        </m:sSub>
      </m:oMath>
      <w:r>
        <w:t xml:space="preserve"> </w:t>
      </w:r>
      <w:r>
        <w:t xml:space="preserve">(fixando as marginais das linhas),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 dada por</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Isso significa que, na ausência de diferenças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alocado entre as duas amostras proporcionalmente à razão entre o número de indivíduos sob risco em cada amostra e o número total sob risco.</w:t>
      </w:r>
    </w:p>
    <w:p>
      <w:pPr>
        <w:pStyle w:val="BodyText"/>
      </w:pPr>
      <w:r>
        <w:t xml:space="preserve">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Portanto, a estatística</w:t>
      </w:r>
      <w:r>
        <w:t xml:space="preserve"> </w:t>
      </w:r>
      <m:oMath>
        <m:sSub>
          <m:e>
            <m:r>
              <m:t>d</m:t>
            </m:r>
          </m:e>
          <m:sub>
            <m:r>
              <m:t>2</m:t>
            </m:r>
            <m:r>
              <m:t>j</m:t>
            </m:r>
          </m:sub>
        </m:sSub>
        <m:r>
          <m:rPr>
            <m:sty m:val="p"/>
          </m:rPr>
          <m:t>−</m:t>
        </m:r>
        <m:sSub>
          <m:e>
            <m:r>
              <m:t>w</m:t>
            </m:r>
          </m:e>
          <m:sub>
            <m:r>
              <m:t>2</m:t>
            </m:r>
            <m:r>
              <m:t>j</m:t>
            </m:r>
          </m:sub>
        </m:sSub>
      </m:oMath>
      <w:r>
        <w:t xml:space="preserve"> </w:t>
      </w:r>
      <w:r>
        <w:t xml:space="preserve">possui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avaliar a igualdade entre as duas funções de sobrevivência pode ser construído com base na seguinte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segue aproximadamente uma distribuição qui-quadrado com</w:t>
      </w:r>
      <w:r>
        <w:t xml:space="preserve"> </w:t>
      </w:r>
      <m:oMath>
        <m:r>
          <m:t>1</m:t>
        </m:r>
      </m:oMath>
      <w:r>
        <w:t xml:space="preserve"> </w:t>
      </w:r>
      <w:r>
        <w:t xml:space="preserve">grau de liberdade para amostras grandes.</w:t>
      </w:r>
    </w:p>
    <w:p>
      <w:pPr>
        <w:pStyle w:val="BodyText"/>
      </w:pPr>
      <w:r>
        <w:t xml:space="preserve">Para exemplificar a aplicação do teste de</w:t>
      </w:r>
      <w:r>
        <w:t xml:space="preserve"> </w:t>
      </w:r>
      <w:r>
        <w:rPr>
          <w:i/>
          <w:iCs/>
        </w:rPr>
        <w:t xml:space="preserve">logrank</w:t>
      </w:r>
      <w:r>
        <w:t xml:space="preserve"> </w:t>
      </w:r>
      <w:r>
        <w:t xml:space="preserve">em dados reais, utilizou-se o conjunto de dados sobre Leucemia Pediátrica, disponível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Esses mesmos dados foram usados para gerar a</w:t>
      </w:r>
      <w:r>
        <w:t xml:space="preserve"> </w:t>
      </w:r>
      <w:hyperlink w:anchor="fig-SobrKM">
        <w:r>
          <w:rPr>
            <w:rStyle w:val="Hyperlink"/>
          </w:rPr>
          <w:t xml:space="preserve">Figura 2.1</w:t>
        </w:r>
      </w:hyperlink>
      <w:r>
        <w:t xml:space="preserve">. O objetivo do teste realizado foi avaliar se as curvas de sobrevivência das categorias da covariável</w:t>
      </w:r>
      <w:r>
        <w:t xml:space="preserve"> </w:t>
      </w:r>
      <w:r>
        <w:rPr>
          <w:rStyle w:val="VerbatimChar"/>
        </w:rPr>
        <w:t xml:space="preserve">r6</w:t>
      </w:r>
      <w:r>
        <w:t xml:space="preserve"> </w:t>
      </w:r>
      <w:r>
        <w:t xml:space="preserve">são iguais, com as seguintes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Decodificando a coluna r_6</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grupo, </w:t>
      </w:r>
      <w:r>
        <w:rPr>
          <w:rStyle w:val="AttributeTok"/>
        </w:rPr>
        <w:t xml:space="preserve">data =</w:t>
      </w:r>
      <w:r>
        <w:rPr>
          <w:rStyle w:val="NormalTok"/>
        </w:rPr>
        <w:t xml:space="preserve"> df,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w:t>
      </w:r>
    </w:p>
    <w:p>
      <w:pPr>
        <w:pStyle w:val="SourceCode"/>
      </w:pPr>
      <w:r>
        <w:rPr>
          <w:rStyle w:val="VerbatimChar"/>
        </w:rPr>
        <w:t xml:space="preserve">Call:</w:t>
      </w:r>
      <w:r>
        <w:br/>
      </w:r>
      <w:r>
        <w:rPr>
          <w:rStyle w:val="VerbatimChar"/>
        </w:rPr>
        <w:t xml:space="preserve">survdiff(formula = Surv(tempos, cens) ~ grupo, data = df,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Ao fixar o nível de significância em em 5% (</w:t>
      </w:r>
      <m:oMath>
        <m:r>
          <m:t>α</m:t>
        </m:r>
        <m:r>
          <m:rPr>
            <m:sty m:val="p"/>
          </m:rPr>
          <m:t>=</m:t>
        </m:r>
        <m:r>
          <m:t>0</m:t>
        </m:r>
        <m:r>
          <m:rPr>
            <m:sty m:val="p"/>
          </m:rPr>
          <m:t>,</m:t>
        </m:r>
        <m:r>
          <m:t>05</m:t>
        </m:r>
      </m:oMath>
      <w:r>
        <w:t xml:space="preserve">), rejeitamos a hipótese nula. rejeitamos a hipótese nula. Essa conclusão baseia-se no valor</w:t>
      </w:r>
      <w:r>
        <w:t xml:space="preserve"> </w:t>
      </w:r>
      <m:oMath>
        <m:r>
          <m:t>p</m:t>
        </m:r>
      </m:oMath>
      <w:r>
        <w:t xml:space="preserve"> </w:t>
      </w:r>
      <w:r>
        <w:t xml:space="preserve">(probabilidade de significância) obtido no teste, calculado como</w:t>
      </w:r>
      <w:r>
        <w:t xml:space="preserve"> </w:t>
      </w:r>
      <m:oMath>
        <m:r>
          <m:t>p</m:t>
        </m:r>
        <m:r>
          <m:rPr>
            <m:sty m:val="p"/>
          </m:rPr>
          <m:t>−</m:t>
        </m:r>
        <m:r>
          <m:t>v</m:t>
        </m:r>
        <m:r>
          <m:t>a</m:t>
        </m:r>
        <m:r>
          <m:t>l</m:t>
        </m:r>
        <m:r>
          <m:t>o</m:t>
        </m:r>
        <m:r>
          <m:t>r</m:t>
        </m:r>
        <m:r>
          <m:rPr>
            <m:sty m:val="p"/>
          </m:rPr>
          <m:t>=</m:t>
        </m:r>
      </m:oMath>
      <w:r>
        <w:t xml:space="preserve"> </w:t>
      </w:r>
      <w:r>
        <w:t xml:space="preserve">0.0166441.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Assim, conclui-se que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comparação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sSub>
          <m:e>
            <m:r>
              <m:t>S</m:t>
            </m:r>
          </m:e>
          <m:sub>
            <m:r>
              <m:t>r</m:t>
            </m:r>
          </m:sub>
        </m:sSub>
        <m:d>
          <m:dPr>
            <m:begChr m:val="("/>
            <m:endChr m:val=")"/>
            <m:sepChr m:val=""/>
            <m:grow/>
          </m:dPr>
          <m:e>
            <m:r>
              <m:t>t</m:t>
            </m:r>
          </m:e>
        </m:d>
      </m:oMath>
      <w:r>
        <w:t xml:space="preserve">, é direta. Utilizando a mesma notação anterior, o índice</w:t>
      </w:r>
      <w:r>
        <w:t xml:space="preserve"> </w:t>
      </w:r>
      <m:oMath>
        <m:r>
          <m:t>i</m:t>
        </m:r>
      </m:oMath>
      <w:r>
        <w:t xml:space="preserve"> </w:t>
      </w:r>
      <w:r>
        <w:t xml:space="preserve">varia agora de</w:t>
      </w:r>
      <w:r>
        <w:t xml:space="preserve"> </w:t>
      </w:r>
      <m:oMath>
        <m:r>
          <m:t>1</m:t>
        </m:r>
      </m:oMath>
      <w:r>
        <w:t xml:space="preserve"> </w:t>
      </w:r>
      <w:r>
        <w:t xml:space="preserve">a</w:t>
      </w:r>
      <w:r>
        <w:t xml:space="preserve"> </w:t>
      </w:r>
      <m:oMath>
        <m:r>
          <m:t>r</m:t>
        </m:r>
      </m:oMath>
      <w:r>
        <w:t xml:space="preserve">. Assim, os dados podem ser organizados em uma tabela de contingência</w:t>
      </w:r>
      <w:r>
        <w:t xml:space="preserve"> </w:t>
      </w:r>
      <m:oMath>
        <m:r>
          <m:t>2</m:t>
        </m:r>
        <m:r>
          <m:rPr>
            <m:sty m:val="p"/>
          </m:rPr>
          <m:t>×</m:t>
        </m:r>
        <m:r>
          <m:t>r</m:t>
        </m:r>
      </m:oMath>
      <w:r>
        <w:t xml:space="preserve">, onde cada coluna</w:t>
      </w:r>
      <w:r>
        <w:t xml:space="preserve"> </w:t>
      </w:r>
      <m:oMath>
        <m:r>
          <m:t>i</m:t>
        </m:r>
      </m:oMath>
      <w:r>
        <w:t xml:space="preserve"> </w:t>
      </w:r>
      <w:r>
        <w:t xml:space="preserve">contém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Dessa forma, a</w:t>
      </w:r>
      <w:r>
        <w:t xml:space="preserve"> </w:t>
      </w:r>
      <w:hyperlink w:anchor="tbl-ExampleTableContig">
        <w:r>
          <w:rPr>
            <w:rStyle w:val="Hyperlink"/>
          </w:rPr>
          <w:t xml:space="preserve">Tabela 2.1</w:t>
        </w:r>
      </w:hyperlink>
      <w:r>
        <w:t xml:space="preserve"> </w:t>
      </w:r>
      <w:r>
        <w:t xml:space="preserve">seria estendida para ter</w:t>
      </w:r>
      <w:r>
        <w:t xml:space="preserve"> </w:t>
      </w:r>
      <m:oMath>
        <m:r>
          <m:t>r</m:t>
        </m:r>
      </m:oMath>
      <w:r>
        <w:t xml:space="preserve"> </w:t>
      </w:r>
      <w:r>
        <w:t xml:space="preserve">colunas em vez de apenas duas.</w:t>
      </w:r>
    </w:p>
    <w:p>
      <w:pPr>
        <w:pStyle w:val="BodyText"/>
      </w:pPr>
      <w:r>
        <w:t xml:space="preserve">Condicionada à experiência de falha e censura até o tempo</w:t>
      </w:r>
      <w:r>
        <w:t xml:space="preserve"> </w:t>
      </w:r>
      <m:oMath>
        <m:sSub>
          <m:e>
            <m:r>
              <m:t>t</m:t>
            </m:r>
          </m:e>
          <m:sub>
            <m:r>
              <m:t>j</m:t>
            </m:r>
          </m:sub>
        </m:sSub>
      </m:oMath>
      <w:r>
        <w:t xml:space="preserve"> </w:t>
      </w:r>
      <w:r>
        <w:t xml:space="preserve">e ao número total de falhas no tempo</w:t>
      </w:r>
      <w:r>
        <w:t xml:space="preserve"> </w:t>
      </w:r>
      <m:oMath>
        <m:sSub>
          <m:e>
            <m:r>
              <m:t>t</m:t>
            </m:r>
          </m:e>
          <m:sub>
            <m:r>
              <m:t>j</m:t>
            </m:r>
          </m:sub>
        </m:sSub>
      </m:oMath>
      <w:r>
        <w:t xml:space="preserve">, a distribuição conjunta de</w:t>
      </w:r>
      <w:r>
        <w:t xml:space="preserve"> </w:t>
      </w:r>
      <m:oMath>
        <m:sSub>
          <m:e>
            <m:r>
              <m:t>d</m:t>
            </m:r>
          </m:e>
          <m:sub>
            <m:r>
              <m:t>2</m:t>
            </m:r>
            <m:r>
              <m:t>j</m:t>
            </m:r>
          </m:sub>
        </m:sSub>
        <m:r>
          <m:rPr>
            <m:sty m:val="p"/>
          </m:rPr>
          <m:t>,</m:t>
        </m:r>
        <m:r>
          <m:rPr>
            <m:sty m:val="p"/>
          </m:rPr>
          <m:t>…</m:t>
        </m:r>
        <m:r>
          <m:rPr>
            <m:sty m:val="p"/>
          </m:rPr>
          <m:t>,</m:t>
        </m:r>
        <m:sSub>
          <m:e>
            <m:r>
              <m:t>d</m:t>
            </m:r>
          </m:e>
          <m:sub>
            <m:r>
              <m:t>r</m:t>
            </m:r>
            <m:r>
              <m:t>j</m:t>
            </m:r>
          </m:sub>
        </m:sSub>
      </m:oMath>
      <w:r>
        <w:t xml:space="preserve"> </w:t>
      </w:r>
      <w:r>
        <w:t xml:space="preserve">segue uma hipergeométrica multivariada, dada por:</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r</m:t>
                  </m:r>
                </m:sup>
                <m:e>
                  <m:d>
                    <m:dPr>
                      <m:begChr m:val="("/>
                      <m:endChr m:val=")"/>
                      <m:sepChr m:val=""/>
                      <m:grow/>
                    </m:dPr>
                    <m:e>
                      <m:f>
                        <m:fPr>
                          <m:type m:val="noBar"/>
                        </m:fPr>
                        <m:num>
                          <m:sSub>
                            <m:e>
                              <m:r>
                                <m:t>n</m:t>
                              </m:r>
                            </m:e>
                            <m:sub>
                              <m:r>
                                <m:t>i</m:t>
                              </m:r>
                              <m:r>
                                <m:t>j</m:t>
                              </m:r>
                            </m:sub>
                          </m:sSub>
                        </m:num>
                        <m:den>
                          <m:sSub>
                            <m:e>
                              <m:r>
                                <m:t>d</m:t>
                              </m:r>
                            </m:e>
                            <m:sub>
                              <m:r>
                                <m:t>i</m:t>
                              </m:r>
                              <m:r>
                                <m:t>j</m:t>
                              </m:r>
                            </m:sub>
                          </m:sSub>
                        </m:den>
                      </m:f>
                    </m:e>
                  </m:d>
                </m:e>
              </m:nary>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i</m:t>
            </m:r>
            <m:r>
              <m:t>j</m:t>
            </m:r>
          </m:sub>
        </m:sSub>
      </m:oMath>
      <w:r>
        <w:t xml:space="preserve"> </w:t>
      </w:r>
      <w:r>
        <w:t xml:space="preserve">é</w:t>
      </w:r>
      <w:r>
        <w:t xml:space="preserve"> </w:t>
      </w:r>
      <m:oMath>
        <m:sSub>
          <m:e>
            <m:r>
              <m:t>w</m:t>
            </m:r>
          </m:e>
          <m:sub>
            <m:r>
              <m:t>i</m:t>
            </m:r>
            <m:r>
              <m:t>j</m:t>
            </m:r>
          </m:sub>
        </m:sSub>
        <m:r>
          <m:rPr>
            <m:sty m:val="p"/>
          </m:rPr>
          <m:t>=</m:t>
        </m:r>
        <m:sSub>
          <m:e>
            <m:r>
              <m:t>n</m:t>
            </m:r>
          </m:e>
          <m:sub>
            <m:r>
              <m:t>i</m:t>
            </m:r>
            <m:r>
              <m:t>j</m:t>
            </m:r>
          </m:sub>
        </m:sSub>
        <m:sSub>
          <m:e>
            <m:r>
              <m:t>d</m:t>
            </m:r>
          </m:e>
          <m:sub>
            <m:r>
              <m:t>j</m:t>
            </m:r>
          </m:sub>
        </m:sSub>
        <m:sSubSup>
          <m:e>
            <m:r>
              <m:t>n</m:t>
            </m:r>
          </m:e>
          <m:sub>
            <m:r>
              <m:t>j</m:t>
            </m:r>
          </m:sub>
          <m:sup>
            <m:r>
              <m:rPr>
                <m:sty m:val="p"/>
              </m:rPr>
              <m:t>−</m:t>
            </m:r>
            <m:r>
              <m:t>1</m:t>
            </m:r>
          </m:sup>
        </m:sSubSup>
      </m:oMath>
      <w:r>
        <w:t xml:space="preserve">, bem como a variância de</w:t>
      </w:r>
      <w:r>
        <w:t xml:space="preserve"> </w:t>
      </w:r>
      <m:oMath>
        <m:sSub>
          <m:e>
            <m:r>
              <m:t>d</m:t>
            </m:r>
          </m:e>
          <m:sub>
            <m:r>
              <m:t>i</m:t>
            </m:r>
            <m:r>
              <m:t>j</m:t>
            </m:r>
          </m:sub>
        </m:sSub>
      </m:oMath>
      <w:r>
        <w:t xml:space="preserve"> </w:t>
      </w:r>
      <w:r>
        <w:t xml:space="preserve">e a covariância de</w:t>
      </w:r>
      <w:r>
        <w:t xml:space="preserve"> </w:t>
      </w:r>
      <m:oMath>
        <m:sSub>
          <m:e>
            <m:r>
              <m:t>d</m:t>
            </m:r>
          </m:e>
          <m:sub>
            <m:r>
              <m:t>i</m:t>
            </m:r>
            <m:r>
              <m:t>j</m:t>
            </m:r>
          </m:sub>
        </m:sSub>
      </m:oMath>
      <w:r>
        <w:t xml:space="preserve"> </w:t>
      </w:r>
      <w:r>
        <w:t xml:space="preserve">e</w:t>
      </w:r>
      <w:r>
        <w:t xml:space="preserve"> </w:t>
      </w:r>
      <m:oMath>
        <m:sSub>
          <m:e>
            <m:r>
              <m:t>d</m:t>
            </m:r>
          </m:e>
          <m:sub>
            <m:r>
              <m:t>l</m:t>
            </m:r>
            <m:r>
              <m:t>j</m:t>
            </m:r>
          </m:sub>
        </m:sSub>
      </m:oMath>
      <w:r>
        <w:t xml:space="preserve"> </w:t>
      </w:r>
      <w:r>
        <w:t xml:space="preserve">são, respectivamente,</w:t>
      </w:r>
    </w:p>
    <w:p>
      <w:pPr>
        <w:pStyle w:val="BodyText"/>
      </w:pPr>
      <m:oMathPara>
        <m:oMathParaPr>
          <m:jc m:val="center"/>
        </m:oMathParaPr>
        <m:oMath>
          <m:sSub>
            <m:e>
              <m:d>
                <m:dPr>
                  <m:begChr m:val="("/>
                  <m:endChr m:val=")"/>
                  <m:sepChr m:val=""/>
                  <m:grow/>
                </m:dPr>
                <m:e>
                  <m:sSub>
                    <m:e>
                      <m:r>
                        <m:t>V</m:t>
                      </m:r>
                    </m:e>
                    <m:sub>
                      <m:r>
                        <m:t>j</m:t>
                      </m:r>
                    </m:sub>
                  </m:sSub>
                </m:e>
              </m:d>
            </m:e>
            <m:sub>
              <m:r>
                <m:t>i</m:t>
              </m:r>
              <m:r>
                <m:t>i</m:t>
              </m:r>
            </m:sub>
          </m:sSub>
          <m:r>
            <m:rPr>
              <m:sty m:val="p"/>
            </m:rPr>
            <m:t>=</m:t>
          </m:r>
          <m:sSub>
            <m:e>
              <m:r>
                <m:t>n</m:t>
              </m:r>
            </m:e>
            <m:sub>
              <m:r>
                <m:t>i</m:t>
              </m:r>
              <m:r>
                <m:t>j</m:t>
              </m:r>
            </m:sub>
          </m:sSub>
          <m:d>
            <m:dPr>
              <m:begChr m:val="("/>
              <m:endChr m:val=")"/>
              <m:sepChr m:val=""/>
              <m:grow/>
            </m:dPr>
            <m:e>
              <m:sSub>
                <m:e>
                  <m:r>
                    <m:t>n</m:t>
                  </m:r>
                </m:e>
                <m:sub>
                  <m:r>
                    <m:t>j</m:t>
                  </m:r>
                </m:sub>
              </m:sSub>
              <m:r>
                <m:rPr>
                  <m:sty m:val="p"/>
                </m:rPr>
                <m:t>−</m:t>
              </m:r>
              <m:sSub>
                <m:e>
                  <m:r>
                    <m:t>n</m:t>
                  </m:r>
                </m:e>
                <m:sub>
                  <m:r>
                    <m:t>i</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oMath>
      </m:oMathPara>
    </w:p>
    <w:p>
      <w:pPr>
        <w:pStyle w:val="FirstParagraph"/>
      </w:pPr>
      <w:r>
        <w:t xml:space="preserve">e</w:t>
      </w:r>
    </w:p>
    <w:p>
      <w:pPr>
        <w:pStyle w:val="BodyText"/>
      </w:pPr>
      <m:oMathPara>
        <m:oMathParaPr>
          <m:jc m:val="center"/>
        </m:oMathParaPr>
        <m:oMath>
          <m:sSub>
            <m:e>
              <m:d>
                <m:dPr>
                  <m:begChr m:val="("/>
                  <m:endChr m:val=")"/>
                  <m:sepChr m:val=""/>
                  <m:grow/>
                </m:dPr>
                <m:e>
                  <m:sSub>
                    <m:e>
                      <m:r>
                        <m:t>V</m:t>
                      </m:r>
                    </m:e>
                    <m:sub>
                      <m:r>
                        <m:t>j</m:t>
                      </m:r>
                    </m:sub>
                  </m:sSub>
                </m:e>
              </m:d>
            </m:e>
            <m:sub>
              <m:r>
                <m:t>i</m:t>
              </m:r>
              <m:r>
                <m:t>l</m:t>
              </m:r>
            </m:sub>
          </m:sSub>
          <m:r>
            <m:rPr>
              <m:sty m:val="p"/>
            </m:rPr>
            <m:t>=</m:t>
          </m:r>
          <m:r>
            <m:rPr>
              <m:sty m:val="p"/>
            </m:rPr>
            <m:t>−</m:t>
          </m:r>
          <m:sSub>
            <m:e>
              <m:r>
                <m:t>n</m:t>
              </m:r>
            </m:e>
            <m:sub>
              <m:r>
                <m:t>i</m:t>
              </m:r>
              <m:r>
                <m:t>j</m:t>
              </m:r>
            </m:sub>
          </m:sSub>
          <m:sSub>
            <m:e>
              <m:r>
                <m:t>n</m:t>
              </m:r>
            </m:e>
            <m:sub>
              <m:r>
                <m:t>l</m:t>
              </m:r>
              <m:r>
                <m:t>j</m:t>
              </m:r>
            </m:sub>
          </m:sSub>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A estatística</w:t>
      </w:r>
      <w:r>
        <w:t xml:space="preserve"> </w:t>
      </w:r>
      <m:oMath>
        <m:r>
          <m:t>v</m:t>
        </m:r>
        <m:sSub>
          <m:e>
            <m:r>
              <m:rPr>
                <m:sty m:val="p"/>
              </m:rPr>
              <m:t>′</m:t>
            </m:r>
          </m:e>
          <m:sub>
            <m:r>
              <m:t>j</m:t>
            </m:r>
          </m:sub>
        </m:sSub>
        <m:r>
          <m:rPr>
            <m:sty m:val="p"/>
          </m:rPr>
          <m:t>=</m:t>
        </m:r>
        <m:d>
          <m:dPr>
            <m:begChr m:val="("/>
            <m:endChr m:val=")"/>
            <m:sepChr m:val=""/>
            <m:grow/>
          </m:dPr>
          <m:e>
            <m:sSub>
              <m:e>
                <m:r>
                  <m:t>d</m:t>
                </m:r>
              </m:e>
              <m:sub>
                <m:r>
                  <m:t>2</m:t>
                </m:r>
                <m:r>
                  <m:t>j</m:t>
                </m:r>
              </m:sub>
            </m:sSub>
            <m:r>
              <m:rPr>
                <m:sty m:val="p"/>
              </m:rPr>
              <m:t>−</m:t>
            </m:r>
            <m:sSub>
              <m:e>
                <m:r>
                  <m:t>w</m:t>
                </m:r>
              </m:e>
              <m:sub>
                <m:r>
                  <m:t>2</m:t>
                </m:r>
                <m:r>
                  <m:t>j</m:t>
                </m:r>
              </m:sub>
            </m:sSub>
            <m:r>
              <m:rPr>
                <m:sty m:val="p"/>
              </m:rPr>
              <m:t>,</m:t>
            </m:r>
            <m:r>
              <m:rPr>
                <m:sty m:val="p"/>
              </m:rPr>
              <m:t>…</m:t>
            </m:r>
            <m:r>
              <m:rPr>
                <m:sty m:val="p"/>
              </m:rPr>
              <m:t>,</m:t>
            </m:r>
            <m:sSub>
              <m:e>
                <m:r>
                  <m:t>d</m:t>
                </m:r>
              </m:e>
              <m:sub>
                <m:r>
                  <m:t>r</m:t>
                </m:r>
                <m:r>
                  <m:t>j</m:t>
                </m:r>
              </m:sub>
            </m:sSub>
            <m:r>
              <m:rPr>
                <m:sty m:val="p"/>
              </m:rPr>
              <m:t>−</m:t>
            </m:r>
            <m:sSub>
              <m:e>
                <m:r>
                  <m:t>w</m:t>
                </m:r>
              </m:e>
              <m:sub>
                <m:r>
                  <m:t>r</m:t>
                </m:r>
                <m:r>
                  <m:t>j</m:t>
                </m:r>
              </m:sub>
            </m:sSub>
          </m:e>
        </m:d>
      </m:oMath>
      <w:r>
        <w:t xml:space="preserve"> </w:t>
      </w:r>
      <w:r>
        <w:t xml:space="preserve">possui média zero e matriz de variância-covariância</w:t>
      </w:r>
      <w:r>
        <w:t xml:space="preserve"> </w:t>
      </w:r>
      <m:oMath>
        <m:sSub>
          <m:e>
            <m:r>
              <m:t>V</m:t>
            </m:r>
          </m:e>
          <m:sub>
            <m:r>
              <m:t>j</m:t>
            </m:r>
          </m:sub>
        </m:sSub>
      </m:oMath>
      <w:r>
        <w:t xml:space="preserve">, com dimensão</w:t>
      </w:r>
      <w:r>
        <w:t xml:space="preserve"> </w:t>
      </w:r>
      <m:oMath>
        <m:r>
          <m:t>r</m:t>
        </m:r>
        <m:r>
          <m:rPr>
            <m:sty m:val="p"/>
          </m:rPr>
          <m:t>−</m:t>
        </m:r>
        <m:r>
          <m:t>1</m:t>
        </m:r>
      </m:oMath>
      <w:r>
        <w:t xml:space="preserve">. A matriz</w:t>
      </w:r>
      <w:r>
        <w:t xml:space="preserve"> </w:t>
      </w:r>
      <m:oMath>
        <m:sSub>
          <m:e>
            <m:r>
              <m:t>V</m:t>
            </m:r>
          </m:e>
          <m:sub>
            <m:r>
              <m:t>j</m:t>
            </m:r>
          </m:sub>
        </m:sSub>
      </m:oMath>
      <w:r>
        <w:t xml:space="preserve"> </w:t>
      </w:r>
      <w:r>
        <w:t xml:space="preserve">contém os termos</w:t>
      </w:r>
      <w:r>
        <w:t xml:space="preserve"> </w:t>
      </w:r>
      <m:oMath>
        <m:d>
          <m:dPr>
            <m:begChr m:val="("/>
            <m:endChr m:val=")"/>
            <m:sepChr m:val=""/>
            <m:grow/>
          </m:dPr>
          <m:e>
            <m:sSub>
              <m:e>
                <m:r>
                  <m:t>V</m:t>
                </m:r>
              </m:e>
              <m:sub>
                <m:r>
                  <m:t>j</m:t>
                </m:r>
              </m:sub>
            </m:sSub>
          </m:e>
        </m:d>
        <m:r>
          <m:t>i</m:t>
        </m:r>
        <m:r>
          <m:t>i</m:t>
        </m:r>
      </m:oMath>
      <w:r>
        <w:t xml:space="preserve"> </w:t>
      </w:r>
      <w:r>
        <w:t xml:space="preserve">na diagonal principal e</w:t>
      </w:r>
      <w:r>
        <w:t xml:space="preserve"> </w:t>
      </w:r>
      <m:oMath>
        <m:sSub>
          <m:e>
            <m:d>
              <m:dPr>
                <m:begChr m:val="("/>
                <m:endChr m:val=")"/>
                <m:sepChr m:val=""/>
                <m:grow/>
              </m:dPr>
              <m:e>
                <m:sSub>
                  <m:e>
                    <m:r>
                      <m:t>V</m:t>
                    </m:r>
                  </m:e>
                  <m:sub>
                    <m:r>
                      <m:t>j</m:t>
                    </m:r>
                  </m:sub>
                </m:sSub>
              </m:e>
            </m:d>
          </m:e>
          <m:sub>
            <m:r>
              <m:t>i</m:t>
            </m:r>
            <m:r>
              <m:t>l</m:t>
            </m:r>
          </m:sub>
        </m:sSub>
      </m:oMath>
      <w:r>
        <w:t xml:space="preserve">,</w:t>
      </w:r>
      <w:r>
        <w:t xml:space="preserve"> </w:t>
      </w:r>
      <m:oMath>
        <m:r>
          <m:t>i</m:t>
        </m:r>
        <m:r>
          <m:rPr>
            <m:sty m:val="p"/>
          </m:rPr>
          <m:t>,</m:t>
        </m:r>
        <m:r>
          <m:t>l</m:t>
        </m:r>
        <m:r>
          <m:rPr>
            <m:sty m:val="p"/>
          </m:rPr>
          <m:t>=</m:t>
        </m:r>
        <m:r>
          <m:t>2</m:t>
        </m:r>
        <m:r>
          <m:rPr>
            <m:sty m:val="p"/>
          </m:rPr>
          <m:t>,</m:t>
        </m:r>
        <m:r>
          <m:rPr>
            <m:sty m:val="p"/>
          </m:rPr>
          <m:t>…</m:t>
        </m:r>
        <m:r>
          <m:rPr>
            <m:sty m:val="p"/>
          </m:rPr>
          <m:t>,</m:t>
        </m:r>
        <m:r>
          <m:t>r</m:t>
        </m:r>
      </m:oMath>
      <w:r>
        <w:t xml:space="preserve">, fora da diagonal principal.</w:t>
      </w:r>
    </w:p>
    <w:p>
      <w:pPr>
        <w:pStyle w:val="BodyText"/>
      </w:pPr>
      <w:r>
        <w:t xml:space="preserve">A estatística</w:t>
      </w:r>
      <w:r>
        <w:t xml:space="preserve"> </w:t>
      </w:r>
      <m:oMath>
        <m:r>
          <m:t>v</m:t>
        </m:r>
      </m:oMath>
      <w:r>
        <w:t xml:space="preserve">, que agrega as contribuições de todos os tempos distintos de falha, é definida como:</w:t>
      </w:r>
    </w:p>
    <w:p>
      <w:pPr>
        <w:pStyle w:val="BodyText"/>
      </w:pPr>
      <m:oMathPara>
        <m:oMathParaPr>
          <m:jc m:val="center"/>
        </m:oMathParaPr>
        <m:oMath>
          <m:r>
            <m:t>v</m:t>
          </m:r>
          <m:r>
            <m:rPr>
              <m:sty m:val="p"/>
            </m:rPr>
            <m:t>=</m:t>
          </m:r>
          <m:nary>
            <m:naryPr>
              <m:chr m:val="∑"/>
              <m:limLoc m:val="undOvr"/>
              <m:subHide m:val="off"/>
              <m:supHide m:val="off"/>
            </m:naryPr>
            <m:sub>
              <m:r>
                <m:t>j</m:t>
              </m:r>
              <m:r>
                <m:rPr>
                  <m:sty m:val="p"/>
                </m:rPr>
                <m:t>=</m:t>
              </m:r>
              <m:r>
                <m:t>1</m:t>
              </m:r>
            </m:sub>
            <m:sup>
              <m:r>
                <m:t>k</m:t>
              </m:r>
            </m:sup>
            <m:e>
              <m:sSub>
                <m:e>
                  <m:r>
                    <m:t>v</m:t>
                  </m:r>
                </m:e>
                <m:sub>
                  <m:r>
                    <m:t>j</m:t>
                  </m:r>
                </m:sub>
              </m:sSub>
            </m:e>
          </m:nary>
          <m:r>
            <m:rPr>
              <m:sty m:val="p"/>
            </m:rPr>
            <m:t>,</m:t>
          </m:r>
        </m:oMath>
      </m:oMathPara>
    </w:p>
    <w:p>
      <w:pPr>
        <w:pStyle w:val="FirstParagraph"/>
      </w:pPr>
      <w:r>
        <w:t xml:space="preserve">onde</w:t>
      </w:r>
      <w:r>
        <w:t xml:space="preserve"> </w:t>
      </w:r>
      <m:oMath>
        <m:r>
          <m:t>v</m:t>
        </m:r>
      </m:oMath>
      <w:r>
        <w:t xml:space="preserve"> </w:t>
      </w:r>
      <w:r>
        <w:t xml:space="preserve">é um vetor de dimensão</w:t>
      </w:r>
      <w:r>
        <w:t xml:space="preserve"> </w:t>
      </w:r>
      <m:oMath>
        <m:d>
          <m:dPr>
            <m:begChr m:val="("/>
            <m:endChr m:val=")"/>
            <m:sepChr m:val=""/>
            <m:grow/>
          </m:dPr>
          <m:e>
            <m:r>
              <m:t>r</m:t>
            </m:r>
            <m:r>
              <m:rPr>
                <m:sty m:val="p"/>
              </m:rPr>
              <m:t>−</m:t>
            </m:r>
            <m:r>
              <m:t>1</m:t>
            </m:r>
          </m:e>
        </m:d>
        <m:r>
          <m:rPr>
            <m:sty m:val="p"/>
          </m:rPr>
          <m:t>×</m:t>
        </m:r>
        <m:r>
          <m:t>1</m:t>
        </m:r>
      </m:oMath>
      <w:r>
        <w:t xml:space="preserve">, cujos elementos correspondem às diferenças entre os totais observados e esperados de falhas.</w:t>
      </w:r>
    </w:p>
    <w:p>
      <w:pPr>
        <w:pStyle w:val="BodyText"/>
      </w:pPr>
      <w:r>
        <w:t xml:space="preserve">Considerando, novamente, a independência das</w:t>
      </w:r>
      <w:r>
        <w:t xml:space="preserve"> </w:t>
      </w:r>
      <m:oMath>
        <m:r>
          <m:t>k</m:t>
        </m:r>
      </m:oMath>
      <w:r>
        <w:t xml:space="preserve"> </w:t>
      </w:r>
      <w:r>
        <w:t xml:space="preserve">tabelas de contingência, a variância de</w:t>
      </w:r>
      <w:r>
        <w:t xml:space="preserve"> </w:t>
      </w:r>
      <m:oMath>
        <m:r>
          <m:t>v</m:t>
        </m:r>
      </m:oMath>
      <w:r>
        <w:t xml:space="preserve"> </w:t>
      </w:r>
      <w:r>
        <w:t xml:space="preserve">é dada por</w:t>
      </w:r>
      <w:r>
        <w:t xml:space="preserve"> </w:t>
      </w:r>
      <m:oMath>
        <m:r>
          <m:t>V</m:t>
        </m:r>
        <m:r>
          <m:rPr>
            <m:sty m:val="p"/>
          </m:rPr>
          <m:t>=</m:t>
        </m:r>
        <m:sSub>
          <m:e>
            <m:r>
              <m:t>V</m:t>
            </m:r>
          </m:e>
          <m:sub>
            <m:r>
              <m:t>1</m:t>
            </m:r>
          </m:sub>
        </m:sSub>
        <m:r>
          <m:rPr>
            <m:sty m:val="p"/>
          </m:rPr>
          <m:t>+</m:t>
        </m:r>
        <m:r>
          <m:rPr>
            <m:sty m:val="p"/>
          </m:rPr>
          <m:t>…</m:t>
        </m:r>
        <m:r>
          <m:rPr>
            <m:sty m:val="p"/>
          </m:rPr>
          <m:t>+</m:t>
        </m:r>
        <m:sSub>
          <m:e>
            <m:r>
              <m:t>V</m:t>
            </m:r>
          </m:e>
          <m:sub>
            <m:r>
              <m:t>k</m:t>
            </m:r>
          </m:sub>
        </m:sSub>
      </m:oMath>
      <w:r>
        <w:t xml:space="preserve">. Um teste aproximado para a igualdade das</w:t>
      </w:r>
      <w:r>
        <w:t xml:space="preserve"> </w:t>
      </w:r>
      <m:oMath>
        <m:r>
          <m:t>r</m:t>
        </m:r>
      </m:oMath>
      <w:r>
        <w:t xml:space="preserve"> </w:t>
      </w:r>
      <w:r>
        <w:t xml:space="preserve">funções de sobrevivência pode ser baseado na estatística:</w:t>
      </w:r>
    </w:p>
    <w:p>
      <w:pPr>
        <w:pStyle w:val="BodyText"/>
      </w:pPr>
      <w:bookmarkStart w:id="57" w:name="eq-EstTestelogrankGeneralizado"/>
      <m:oMathPara>
        <m:oMathParaPr>
          <m:jc m:val="center"/>
        </m:oMathParaPr>
        <m:oMath>
          <m:r>
            <m:t>T</m:t>
          </m:r>
          <m:r>
            <m:rPr>
              <m:sty m:val="p"/>
            </m:rPr>
            <m:t>=</m:t>
          </m:r>
          <m:r>
            <m:t>v</m:t>
          </m:r>
          <m:r>
            <m:rPr>
              <m:sty m:val="p"/>
            </m:rPr>
            <m:t>´</m:t>
          </m:r>
          <m:sSup>
            <m:e>
              <m:r>
                <m:t>V</m:t>
              </m:r>
            </m:e>
            <m:sup>
              <m:r>
                <m:rPr>
                  <m:sty m:val="p"/>
                </m:rPr>
                <m:t>−</m:t>
              </m:r>
              <m:r>
                <m:t>1</m:t>
              </m:r>
            </m:sup>
          </m:sSup>
          <m:r>
            <m:t>v</m:t>
          </m:r>
          <m:r>
            <m:rPr>
              <m:sty m:val="p"/>
            </m:rPr>
            <m:t>,</m:t>
          </m:r>
          <m:r>
            <m:t>  </m:t>
          </m:r>
          <m:d>
            <m:dPr>
              <m:begChr m:val="("/>
              <m:endChr m:val=")"/>
              <m:sepChr m:val=""/>
              <m:grow/>
            </m:dPr>
            <m:e>
              <m:r>
                <m:t>2.8</m:t>
              </m:r>
            </m:e>
          </m:d>
        </m:oMath>
      </m:oMathPara>
      <w:bookmarkEnd w:id="57"/>
    </w:p>
    <w:p>
      <w:pPr>
        <w:pStyle w:val="FirstParagraph"/>
      </w:pPr>
      <w:r>
        <w:t xml:space="preserve">que, sob a hipótese nula</w:t>
      </w:r>
      <w:r>
        <w:t xml:space="preserve"> </w:t>
      </w:r>
      <m:oMath>
        <m:sSub>
          <m:e>
            <m:r>
              <m:t>H</m:t>
            </m:r>
          </m:e>
          <m:sub>
            <m:r>
              <m:t>0</m:t>
            </m:r>
          </m:sub>
        </m:sSub>
      </m:oMath>
      <w:r>
        <w:t xml:space="preserve"> </w:t>
      </w:r>
      <w:r>
        <w:t xml:space="preserve">(igualdade das curvas de sobrevivência), segue uma distribuição qui-quadrado com</w:t>
      </w:r>
      <w:r>
        <w:t xml:space="preserve"> </w:t>
      </w:r>
      <m:oMath>
        <m:r>
          <m:t>r</m:t>
        </m:r>
        <m:r>
          <m:rPr>
            <m:sty m:val="p"/>
          </m:rPr>
          <m:t>−</m:t>
        </m:r>
        <m:r>
          <m:t>1</m:t>
        </m:r>
      </m:oMath>
      <w:r>
        <w:t xml:space="preserve"> </w:t>
      </w:r>
      <w:r>
        <w:t xml:space="preserve">graus de liberdade para amostras grandes. Os graus de liberdade são</w:t>
      </w:r>
      <w:r>
        <w:t xml:space="preserve"> </w:t>
      </w:r>
      <m:oMath>
        <m:r>
          <m:t>r</m:t>
        </m:r>
        <m:r>
          <m:rPr>
            <m:sty m:val="p"/>
          </m:rPr>
          <m:t>−</m:t>
        </m:r>
        <m:r>
          <m:t>1</m:t>
        </m:r>
      </m:oMath>
      <w:r>
        <w:t xml:space="preserve"> </w:t>
      </w:r>
      <w:r>
        <w:t xml:space="preserve">em vez de</w:t>
      </w:r>
      <w:r>
        <w:t xml:space="preserve"> </w:t>
      </w:r>
      <m:oMath>
        <m:r>
          <m:t>r</m:t>
        </m:r>
      </m:oMath>
      <w:r>
        <w:t xml:space="preserve">, pois os elementos de</w:t>
      </w:r>
      <w:r>
        <w:t xml:space="preserve"> </w:t>
      </w:r>
      <m:oMath>
        <m:r>
          <m:t>v</m:t>
        </m:r>
      </m:oMath>
      <w:r>
        <w:t xml:space="preserve"> </w:t>
      </w:r>
      <w:r>
        <w:t xml:space="preserve">somam zero.</w:t>
      </w:r>
    </w:p>
    <w:p>
      <w:pPr>
        <w:pStyle w:val="BodyText"/>
      </w:pPr>
      <w:r>
        <w:t xml:space="preserve">Uma aplicação para a comparação de</w:t>
      </w:r>
      <w:r>
        <w:t xml:space="preserve"> </w:t>
      </w:r>
      <m:oMath>
        <m:r>
          <m:t>r</m:t>
        </m:r>
      </m:oMath>
      <w:r>
        <w:t xml:space="preserve"> </w:t>
      </w:r>
      <w:r>
        <w:t xml:space="preserve">curvas de sobrevivência […].</w:t>
      </w:r>
    </w:p>
    <w:p>
      <w:pPr>
        <w:pStyle w:val="SourceCode"/>
      </w:pPr>
      <w:r>
        <w:rPr>
          <w:rStyle w:val="FunctionTok"/>
        </w:rPr>
        <w:t xml:space="preserve">cat</w:t>
      </w:r>
      <w:r>
        <w:rPr>
          <w:rStyle w:val="NormalTok"/>
        </w:rPr>
        <w:t xml:space="preserve">(</w:t>
      </w:r>
      <w:r>
        <w:rPr>
          <w:rStyle w:val="StringTok"/>
        </w:rPr>
        <w:t xml:space="preserve">"Código em R a ser preenchido"</w:t>
      </w:r>
      <w:r>
        <w:rPr>
          <w:rStyle w:val="NormalTok"/>
        </w:rPr>
        <w:t xml:space="preserve">)</w:t>
      </w:r>
    </w:p>
    <w:p>
      <w:pPr>
        <w:pStyle w:val="SourceCode"/>
      </w:pPr>
      <w:r>
        <w:rPr>
          <w:rStyle w:val="VerbatimChar"/>
        </w:rPr>
        <w:t xml:space="preserve">Código em R a ser preenchido</w:t>
      </w:r>
    </w:p>
    <w:bookmarkStart w:id="58" w:name="outros-testes"/>
    <w:p>
      <w:pPr>
        <w:pStyle w:val="Heading3"/>
      </w:pPr>
      <w:r>
        <w:t xml:space="preserve">2.4.1 Outros Testes</w:t>
      </w:r>
    </w:p>
    <w:p>
      <w:pPr>
        <w:pStyle w:val="FirstParagraph"/>
      </w:pPr>
      <w:r>
        <w:t xml:space="preserve">[…]</w:t>
      </w:r>
    </w:p>
    <w:bookmarkEnd w:id="58"/>
    <w:bookmarkEnd w:id="59"/>
    <w:bookmarkEnd w:id="60"/>
    <w:bookmarkStart w:id="150" w:name="X597cbc4748de7f31618e130d6a21c3fd90a3a88"/>
    <w:p>
      <w:pPr>
        <w:pStyle w:val="Heading1"/>
      </w:pPr>
      <w:r>
        <w:t xml:space="preserve">3. Técnicas Paramétricas - Modelos Probabilísticos</w:t>
      </w:r>
    </w:p>
    <w:bookmarkStart w:id="61"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61"/>
    <w:bookmarkStart w:id="116"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62"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62"/>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80"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3"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63"/>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64"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64"/>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65"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65"/>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α</m:t>
        </m:r>
      </m:oMath>
      <w:r>
        <w:t xml:space="preserve">:</w:t>
      </w:r>
    </w:p>
    <w:p>
      <w:pPr>
        <w:pStyle w:val="BodyText"/>
      </w:pPr>
      <w:bookmarkStart w:id="66"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66"/>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[1] DISTRIBUIÇÃO EXPONENCIAL</w:t>
      </w:r>
      <w:r>
        <w:br/>
      </w:r>
      <w:r>
        <w:rPr>
          <w:rStyle w:val="CommentTok"/>
        </w:rPr>
        <w:t xml:space="preserve"># ---------------------------</w:t>
      </w:r>
      <w:r>
        <w:br/>
      </w:r>
      <w:r>
        <w:br/>
      </w:r>
      <w:r>
        <w:rPr>
          <w:rStyle w:val="CommentTok"/>
        </w:rPr>
        <w:t xml:space="preserve"># -------------</w:t>
      </w:r>
      <w:r>
        <w:br/>
      </w:r>
      <w:r>
        <w:rPr>
          <w:rStyle w:val="CommentTok"/>
        </w:rPr>
        <w:t xml:space="preserve"># [1.1] FUNÇÕES</w:t>
      </w:r>
      <w:r>
        <w:br/>
      </w:r>
      <w:r>
        <w:rPr>
          <w:rStyle w:val="CommentTok"/>
        </w:rPr>
        <w:t xml:space="preserve"># -------------</w:t>
      </w:r>
      <w:r>
        <w:br/>
      </w:r>
      <w:r>
        <w:rPr>
          <w:rStyle w:val="CommentTok"/>
        </w:rPr>
        <w:t xml:space="preserve"># As funções de sobrevivência, risco e risco acumulado são simplificadas</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alpha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GRÁFICOS</w:t>
      </w:r>
      <w:r>
        <w:br/>
      </w:r>
      <w:r>
        <w:rPr>
          <w:rStyle w:val="CommentTok"/>
        </w:rPr>
        <w:t xml:space="preserve"># -------------</w:t>
      </w:r>
      <w:r>
        <w:br/>
      </w:r>
      <w:r>
        <w:br/>
      </w:r>
      <w:r>
        <w:rPr>
          <w:rStyle w:val="CommentTok"/>
        </w:rPr>
        <w:t xml:space="preserve"># Criando uma função para gerar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(alphas, </w:t>
      </w:r>
      <w:r>
        <w:rPr>
          <w:rStyle w:val="ControlFlowTok"/>
        </w:rPr>
        <w:t xml:space="preserve">function</w:t>
      </w:r>
      <w:r>
        <w:rPr>
          <w:rStyle w:val="NormalTok"/>
        </w:rPr>
        <w:t xml:space="preserve">(a) </w:t>
      </w:r>
      <w:r>
        <w:rPr>
          <w:rStyle w:val="FunctionTok"/>
        </w:rPr>
        <w:t xml:space="preserve">bquote</w:t>
      </w:r>
      <w:r>
        <w:rPr>
          <w:rStyle w:val="NormalTok"/>
        </w:rPr>
        <w:t xml:space="preserve">(alpha </w:t>
      </w:r>
      <w:r>
        <w:rPr>
          <w:rStyle w:val="SpecialCharTok"/>
        </w:rPr>
        <w:t xml:space="preserve">==</w:t>
      </w:r>
      <w:r>
        <w:rPr>
          <w:rStyle w:val="NormalTok"/>
        </w:rPr>
        <w:t xml:space="preserve"> .(a))))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StringTok"/>
        </w:rPr>
        <w:t xml:space="preserve">"S(t)"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0" w:name="fig-SobrExp"/>
          <w:p>
            <w:pPr>
              <w:jc w:val="center"/>
            </w:pPr>
            <w:pPr>
              <w:jc w:val="start"/>
              <w:spacing w:before="200"/>
              <w:pStyle w:val="ImageCaption"/>
            </w:pPr>
            <w:r>
              <w:t xml:space="preserve">Figura 3.1: Função de Sobrevivência segundo uma Distribuição Exponencial para diferentes valores do parâmetro de taxa.</w:t>
            </w:r>
          </w:p>
          <w:p>
            <w:pPr>
              <w:pStyle w:val="Compact"/>
              <w:jc w:val="center"/>
            </w:pPr>
            <w:r>
              <w:drawing>
                <wp:inline>
                  <wp:extent cx="4620126" cy="3696101"/>
                  <wp:effectExtent b="0" l="0" r="0" t="0"/>
                  <wp:docPr descr="" title="" id="68" name="Picture"/>
                  <a:graphic>
                    <a:graphicData uri="http://schemas.openxmlformats.org/drawingml/2006/picture">
                      <pic:pic>
                        <pic:nvPicPr>
                          <pic:cNvPr descr="CIII_ModelProb_files/figure-docx/fig-SobrExp-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4" w:name="fig-RiscExp"/>
          <w:p>
            <w:pPr>
              <w:jc w:val="center"/>
            </w:pPr>
            <w:pPr>
              <w:jc w:val="start"/>
              <w:spacing w:before="200"/>
              <w:pStyle w:val="ImageCaption"/>
            </w:pPr>
            <w:r>
              <w:t xml:space="preserve">Figura 3.2: Função de Risco segundo uma Distribuição Exponencial para diferentes valores do parâmetro de taxa.</w:t>
            </w:r>
          </w:p>
          <w:p>
            <w:pPr>
              <w:pStyle w:val="Compact"/>
              <w:jc w:val="center"/>
            </w:pPr>
            <w:r>
              <w:drawing>
                <wp:inline>
                  <wp:extent cx="4620126" cy="3696101"/>
                  <wp:effectExtent b="0" l="0" r="0" t="0"/>
                  <wp:docPr descr="" title="" id="72" name="Picture"/>
                  <a:graphic>
                    <a:graphicData uri="http://schemas.openxmlformats.org/drawingml/2006/picture">
                      <pic:pic>
                        <pic:nvPicPr>
                          <pic:cNvPr descr="CIII_ModelProb_files/figure-docx/fig-RiscExp-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8" w:name="fig-RiscAcumulExp"/>
          <w:p>
            <w:pPr>
              <w:jc w:val="center"/>
            </w:pPr>
            <w:pPr>
              <w:jc w:val="start"/>
              <w:spacing w:before="200"/>
              <w:pStyle w:val="ImageCaption"/>
            </w:pPr>
            <w:r>
              <w:t xml:space="preserve">Figura 3.3: Função de Risco segundo uma Distribuição Exponencial para diferentes valores do parâmetro de taxa.</w:t>
            </w:r>
          </w:p>
          <w:p>
            <w:pPr>
              <w:pStyle w:val="Compact"/>
              <w:jc w:val="center"/>
            </w:pPr>
            <w:r>
              <w:drawing>
                <wp:inline>
                  <wp:extent cx="4620126" cy="3696101"/>
                  <wp:effectExtent b="0" l="0" r="0" t="0"/>
                  <wp:docPr descr="" title="" id="76" name="Picture"/>
                  <a:graphic>
                    <a:graphicData uri="http://schemas.openxmlformats.org/drawingml/2006/picture">
                      <pic:pic>
                        <pic:nvPicPr>
                          <pic:cNvPr descr="CIII_ModelProb_files/figure-docx/fig-RiscAcumulExp-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tc>
      </w:tr>
    </w:tbl>
    <w:bookmarkStart w:id="79"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suma, o modelo exponecial se torna adequado quando o período do experimento é curto para que a supocisão de risco constante possa ser antendida.</w:t>
      </w:r>
    </w:p>
    <w:bookmarkEnd w:id="79"/>
    <w:bookmarkEnd w:id="80"/>
    <w:bookmarkStart w:id="99" w:name="sec-Dist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81"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81"/>
    </w:p>
    <w:p>
      <w:pPr>
        <w:pStyle w:val="FirstParagraph"/>
      </w:pPr>
      <w:r>
        <w:t xml:space="preserve">A partir da</w:t>
      </w:r>
      <w:r>
        <w:t xml:space="preserve"> </w:t>
      </w:r>
      <w:hyperlink w:anchor="eq-densitWei">
        <w:r>
          <w:rPr>
            <w:rStyle w:val="Hyperlink"/>
          </w:rPr>
          <w:t xml:space="preserve">Equação 3.6</w:t>
        </w:r>
      </w:hyperlink>
      <w:r>
        <w:t xml:space="preserve"> </w:t>
      </w:r>
      <w:r>
        <w:t xml:space="preserve">é possível chegar a função de sobrevivência da distribuição Weibull sendo está função definida como:</w:t>
      </w:r>
    </w:p>
    <w:p>
      <w:pPr>
        <w:pStyle w:val="BodyText"/>
      </w:pPr>
      <w:bookmarkStart w:id="82"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3.7</m:t>
              </m:r>
            </m:e>
          </m:d>
        </m:oMath>
      </m:oMathPara>
      <w:bookmarkEnd w:id="82"/>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3" w:name="eq-RiscoWeibull"/>
      <m:oMathPara>
        <m:oMathParaPr>
          <m:jc m:val="center"/>
        </m:oMathParaPr>
        <m:oMath>
          <m:r>
            <m:t>λ</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t>  </m:t>
          </m:r>
          <m:d>
            <m:dPr>
              <m:begChr m:val="("/>
              <m:endChr m:val=")"/>
              <m:sepChr m:val=""/>
              <m:grow/>
            </m:dPr>
            <m:e>
              <m:r>
                <m:t>3.8</m:t>
              </m:r>
            </m:e>
          </m:d>
        </m:oMath>
      </m:oMathPara>
      <w:bookmarkEnd w:id="83"/>
    </w:p>
    <w:p>
      <w:pPr>
        <w:pStyle w:val="FirstParagraph"/>
      </w:pPr>
      <w:r>
        <w:t xml:space="preserve">e a função de risco acumulado da distribuição Weibull é dada por:</w:t>
      </w:r>
    </w:p>
    <w:p>
      <w:pPr>
        <w:pStyle w:val="BodyText"/>
      </w:pPr>
      <w:bookmarkStart w:id="84" w:name="eq-RiscAcumWeibull"/>
      <m:oMathPara>
        <m:oMathParaPr>
          <m:jc m:val="center"/>
        </m:oMathParaPr>
        <m:oMath>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r>
            <m:rPr>
              <m:sty m:val="p"/>
            </m:rPr>
            <m:t>=</m:t>
          </m:r>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3.9</m:t>
              </m:r>
            </m:e>
          </m:d>
        </m:oMath>
      </m:oMathPara>
      <w:bookmarkEnd w:id="84"/>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&gt;</m:t>
        </m:r>
        <m:r>
          <m:t>1</m:t>
        </m:r>
        <m:r>
          <m:rPr>
            <m:sty m:val="p"/>
          </m:rPr>
          <m:t>→</m:t>
        </m:r>
      </m:oMath>
      <w:r>
        <w:t xml:space="preserve"> </w:t>
      </w:r>
      <w:r>
        <w:t xml:space="preserve">a função de risco se torna constante, caindo no caso particular da distribuição exponencial.</w:t>
      </w:r>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γ</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w:t>
      </w:r>
      <w:r>
        <w:br/>
      </w:r>
      <w:r>
        <w:rPr>
          <w:rStyle w:val="CommentTok"/>
        </w:rPr>
        <w:t xml:space="preserve"># [2.1] FUNÇÕES</w:t>
      </w:r>
      <w:r>
        <w:br/>
      </w:r>
      <w:r>
        <w:rPr>
          <w:rStyle w:val="CommentTok"/>
        </w:rPr>
        <w:t xml:space="preserve"># -------------</w:t>
      </w:r>
      <w:r>
        <w:br/>
      </w:r>
      <w:r>
        <w:br/>
      </w:r>
      <w:r>
        <w:rPr>
          <w:rStyle w:val="CommentTok"/>
        </w:rPr>
        <w:t xml:space="preserve"># Funções para Weibull</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alpha, gamma)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alpha, gamma)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alpha, gamma)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CommentTok"/>
        </w:rPr>
        <w:t xml:space="preserve"># Simulando dados de uma Weibull</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Valores de gamma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(tempo, alpha, gamma),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(tempo, alpha, gamma),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(tempo, alpha, gamma),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gamma))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(gammas, </w:t>
      </w:r>
      <w:r>
        <w:rPr>
          <w:rStyle w:val="ControlFlowTok"/>
        </w:rPr>
        <w:t xml:space="preserve">function</w:t>
      </w:r>
      <w:r>
        <w:rPr>
          <w:rStyle w:val="NormalTok"/>
        </w:rPr>
        <w:t xml:space="preserve">(g) </w:t>
      </w:r>
      <w:r>
        <w:rPr>
          <w:rStyle w:val="FunctionTok"/>
        </w:rPr>
        <w:t xml:space="preserve">bquote</w:t>
      </w:r>
      <w:r>
        <w:rPr>
          <w:rStyle w:val="NormalTok"/>
        </w:rPr>
        <w:t xml:space="preserve">(gamma </w:t>
      </w:r>
      <w:r>
        <w:rPr>
          <w:rStyle w:val="SpecialCharTok"/>
        </w:rPr>
        <w:t xml:space="preserve">==</w:t>
      </w:r>
      <w:r>
        <w:rPr>
          <w:rStyle w:val="NormalTok"/>
        </w:rPr>
        <w:t xml:space="preserve"> .(g))))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p>
    <w:p>
      <w:pPr>
        <w:pStyle w:val="FirstParagraph"/>
      </w:pPr>
      <w:r>
        <w:t xml:space="preserve">Veja a seguir a</w:t>
      </w:r>
      <w:r>
        <w:t xml:space="preserve"> </w:t>
      </w:r>
      <w:hyperlink w:anchor="fig-SobrWei">
        <w:r>
          <w:rPr>
            <w:rStyle w:val="Hyperlink"/>
          </w:rPr>
          <w:t xml:space="preserve">Figura 3.4</w:t>
        </w:r>
      </w:hyperlink>
      <w:r>
        <w:t xml:space="preserve">. Tal Figura mostra as curvas de sobrevivência para diferentes valores do parâmetro</w:t>
      </w:r>
      <w:r>
        <w:t xml:space="preserve"> </w:t>
      </w:r>
      <m:oMath>
        <m:r>
          <m:t>γ</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8" w:name="fig-SobrWei"/>
          <w:p>
            <w:pPr>
              <w:jc w:val="center"/>
            </w:pPr>
            <w:pPr>
              <w:jc w:val="start"/>
              <w:spacing w:before="200"/>
              <w:pStyle w:val="ImageCaption"/>
            </w:pPr>
            <w:r>
              <w:t xml:space="preserve">Figura 3.4: Função de Sobrevivência segundo uma Distribuição Weibull para diferentes valores do parâmetro de forma.</w:t>
            </w:r>
          </w:p>
          <w:p>
            <w:pPr>
              <w:pStyle w:val="Compact"/>
              <w:jc w:val="center"/>
            </w:pPr>
            <w:r>
              <w:drawing>
                <wp:inline>
                  <wp:extent cx="4620126" cy="3696101"/>
                  <wp:effectExtent b="0" l="0" r="0" t="0"/>
                  <wp:docPr descr="" title="" id="86" name="Picture"/>
                  <a:graphic>
                    <a:graphicData uri="http://schemas.openxmlformats.org/drawingml/2006/picture">
                      <pic:pic>
                        <pic:nvPicPr>
                          <pic:cNvPr descr="CIII_ModelProb_files/figure-docx/fig-SobrWei-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tc>
      </w:tr>
    </w:tbl>
    <w:p>
      <w:pPr>
        <w:pStyle w:val="BodyText"/>
      </w:pPr>
      <w:r>
        <w:t xml:space="preserve">Veja a seguir a</w:t>
      </w:r>
      <w:r>
        <w:t xml:space="preserve"> </w:t>
      </w:r>
      <w:hyperlink w:anchor="fig-RiscWei">
        <w:r>
          <w:rPr>
            <w:rStyle w:val="Hyperlink"/>
          </w:rPr>
          <w:t xml:space="preserve">Figura 3.5</w:t>
        </w:r>
      </w:hyperlink>
      <w:r>
        <w:t xml:space="preserve">. Tal Figura mostra a função de risco para diferentes valores do parâmetro</w:t>
      </w:r>
      <w:r>
        <w:t xml:space="preserve"> </w:t>
      </w:r>
      <m:oMath>
        <m:r>
          <m:t>γ</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2" w:name="fig-RiscWei"/>
          <w:p>
            <w:pPr>
              <w:jc w:val="center"/>
            </w:pPr>
            <w:pPr>
              <w:jc w:val="start"/>
              <w:spacing w:before="200"/>
              <w:pStyle w:val="ImageCaption"/>
            </w:pPr>
            <w:r>
              <w:t xml:space="preserve">Figura 3.5: Função de Risco segundo uma Distribuição Weibull para diferentes valores do parâmetro de forma.</w:t>
            </w:r>
          </w:p>
          <w:p>
            <w:pPr>
              <w:pStyle w:val="Compact"/>
              <w:jc w:val="center"/>
            </w:pPr>
            <w:r>
              <w:drawing>
                <wp:inline>
                  <wp:extent cx="4620126" cy="3696101"/>
                  <wp:effectExtent b="0" l="0" r="0" t="0"/>
                  <wp:docPr descr="" title="" id="90" name="Picture"/>
                  <a:graphic>
                    <a:graphicData uri="http://schemas.openxmlformats.org/drawingml/2006/picture">
                      <pic:pic>
                        <pic:nvPicPr>
                          <pic:cNvPr descr="CIII_ModelProb_files/figure-docx/fig-RiscWei-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tc>
      </w:tr>
    </w:tbl>
    <w:p>
      <w:pPr>
        <w:pStyle w:val="BodyText"/>
      </w:pPr>
      <w:r>
        <w:t xml:space="preserve">Veja a seguir a</w:t>
      </w:r>
      <w:r>
        <w:t xml:space="preserve"> </w:t>
      </w:r>
      <w:hyperlink w:anchor="fig-RiscAcumWei">
        <w:r>
          <w:rPr>
            <w:rStyle w:val="Hyperlink"/>
          </w:rPr>
          <w:t xml:space="preserve">Figura 3.6</w:t>
        </w:r>
      </w:hyperlink>
      <w:r>
        <w:t xml:space="preserve">. Tal Figura mostra a função de risco acumulado para diferentes valores do parâmetro</w:t>
      </w:r>
      <w:r>
        <w:t xml:space="preserve"> </w:t>
      </w:r>
      <m:oMath>
        <m:r>
          <m:t>γ</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6" w:name="fig-RiscAcumWei"/>
          <w:p>
            <w:pPr>
              <w:jc w:val="center"/>
            </w:pPr>
            <w:pPr>
              <w:jc w:val="start"/>
              <w:spacing w:before="200"/>
              <w:pStyle w:val="ImageCaption"/>
            </w:pPr>
            <w:r>
              <w:t xml:space="preserve">Figura 3.6: Função de Risco Acumulado segundo uma Distribuição Weibull para diferentes valores do parâmetro de forma.</w:t>
            </w:r>
          </w:p>
          <w:p>
            <w:pPr>
              <w:pStyle w:val="Compact"/>
              <w:jc w:val="center"/>
            </w:pPr>
            <w:r>
              <w:drawing>
                <wp:inline>
                  <wp:extent cx="4620126" cy="3696101"/>
                  <wp:effectExtent b="0" l="0" r="0" t="0"/>
                  <wp:docPr descr="" title="" id="94" name="Picture"/>
                  <a:graphic>
                    <a:graphicData uri="http://schemas.openxmlformats.org/drawingml/2006/picture">
                      <pic:pic>
                        <pic:nvPicPr>
                          <pic:cNvPr descr="CIII_ModelProb_files/figure-docx/fig-RiscAcumWei-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tc>
      </w:tr>
    </w:tbl>
    <w:bookmarkStart w:id="97"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x</m:t>
                </m:r>
              </m:e>
              <m:sup>
                <m:r>
                  <m:t>k</m:t>
                </m:r>
                <m:r>
                  <m:rPr>
                    <m:sty m:val="p"/>
                  </m:rPr>
                  <m:t>−</m:t>
                </m:r>
                <m:r>
                  <m:t>1</m:t>
                </m:r>
              </m:sup>
            </m:sSup>
          </m:e>
        </m:nary>
        <m:sSup>
          <m:e>
            <m:r>
              <m:t>e</m:t>
            </m:r>
          </m:e>
          <m:sup>
            <m:r>
              <m:rPr>
                <m:sty m:val="p"/>
              </m:rPr>
              <m:t>−</m:t>
            </m:r>
            <m:r>
              <m:t>x</m:t>
            </m:r>
          </m:sup>
        </m:sSup>
        <m:r>
          <m:t>d</m:t>
        </m:r>
        <m:r>
          <m:t>x</m:t>
        </m:r>
      </m:oMath>
      <w:r>
        <w:t xml:space="preserve">.</w:t>
      </w:r>
    </w:p>
    <w:p>
      <w:pPr>
        <w:pStyle w:val="BodyText"/>
      </w:pPr>
      <w:r>
        <w:t xml:space="preserve">Afim de se obter o tempo mediano de sobrevivência, igualamos a probabilidade de sobrevivência a 0,5. Desta forma:</w:t>
      </w:r>
    </w:p>
    <w:p>
      <w:pPr>
        <w:pStyle w:val="BodyText"/>
      </w:pPr>
      <w:r>
        <w:t xml:space="preserve">Logo,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sSup>
                <m:e>
                  <m:d>
                    <m:dPr>
                      <m:begChr m:val="("/>
                      <m:endChr m:val=")"/>
                      <m:sepChr m:val=""/>
                      <m:grow/>
                    </m:dPr>
                    <m:e>
                      <m:r>
                        <m:t>2</m:t>
                      </m:r>
                    </m:e>
                  </m:d>
                </m:e>
                <m:sup>
                  <m:r>
                    <m:t>1</m:t>
                  </m:r>
                  <m:r>
                    <m:rPr>
                      <m:sty m:val="p"/>
                    </m:rPr>
                    <m:t>/</m:t>
                  </m:r>
                  <m:r>
                    <m:t>γ</m:t>
                  </m:r>
                </m:sup>
              </m:sSup>
            </m:num>
            <m:den>
              <m:r>
                <m:t>α</m:t>
              </m:r>
            </m:den>
          </m:f>
          <m:r>
            <m:rPr>
              <m:sty m:val="p"/>
            </m:rPr>
            <m:t>.</m:t>
          </m:r>
        </m:oMath>
      </m:oMathPara>
    </w:p>
    <w:bookmarkEnd w:id="97"/>
    <w:bookmarkStart w:id="98" w:name="X18ac8eba03fa1d9eb1e3ac3f0e15479fbe57ff7"/>
    <w:p>
      <w:pPr>
        <w:pStyle w:val="Heading4"/>
      </w:pPr>
      <w:r>
        <w:t xml:space="preserve">3.2.2.2 Distribuição do valor extremo ou de Gambel</w:t>
      </w:r>
    </w:p>
    <w:p>
      <w:pPr>
        <w:pStyle w:val="FirstParagraph"/>
      </w:pPr>
      <w:r>
        <w:t xml:space="preserve">Um ponto que deve ser chamada atenção é a relação da distribuição Weibull com outra distribuição. Esta outra distribuição é chamada de</w:t>
      </w:r>
      <w:r>
        <w:t xml:space="preserve"> </w:t>
      </w:r>
      <w:r>
        <w:rPr>
          <w:i/>
          <w:iCs/>
        </w:rPr>
        <w:t xml:space="preserve">distribuição do valor extremo</w:t>
      </w:r>
      <w:r>
        <w:t xml:space="preserve"> </w:t>
      </w:r>
      <w:r>
        <w:t xml:space="preserve">ou de</w:t>
      </w:r>
      <w:r>
        <w:t xml:space="preserve"> </w:t>
      </w:r>
      <w:r>
        <w:rPr>
          <w:i/>
          <w:iCs/>
        </w:rPr>
        <w:t xml:space="preserve">Gambel</w:t>
      </w:r>
      <w:r>
        <w:t xml:space="preserve">. Tal distribuição surge ao se tomar o logaritmo de uma variável</w:t>
      </w:r>
      <w:r>
        <w:t xml:space="preserve"> </w:t>
      </w:r>
      <m:oMath>
        <m:r>
          <m:t>T</m:t>
        </m:r>
      </m:oMath>
      <w:r>
        <w:t xml:space="preserve"> </w:t>
      </w:r>
      <w:r>
        <w:t xml:space="preserve">com distribuição de Weibull com</w:t>
      </w:r>
      <w:r>
        <w:t xml:space="preserve"> </w:t>
      </w:r>
      <m:oMath>
        <m:r>
          <m:t>f</m:t>
        </m:r>
        <m:d>
          <m:dPr>
            <m:begChr m:val="("/>
            <m:endChr m:val=")"/>
            <m:sepChr m:val=""/>
            <m:grow/>
          </m:dPr>
          <m:e>
            <m:r>
              <m:t>t</m:t>
            </m:r>
          </m:e>
        </m:d>
      </m:oMath>
      <w:r>
        <w:t xml:space="preserve"> </w:t>
      </w:r>
      <w:r>
        <w:t xml:space="preserve">dada por</w:t>
      </w:r>
      <w:r>
        <w:t xml:space="preserve"> </w:t>
      </w:r>
      <w:hyperlink w:anchor="eq-densitWei">
        <w:r>
          <w:rPr>
            <w:rStyle w:val="Hyperlink"/>
          </w:rPr>
          <w:t xml:space="preserve">Equação 3.6</w:t>
        </w:r>
      </w:hyperlink>
      <w:r>
        <w:t xml:space="preserve">, desta forma,</w:t>
      </w:r>
      <w:r>
        <w:t xml:space="preserve"> </w:t>
      </w:r>
      <m:oMath>
        <m:r>
          <m:t>Y</m:t>
        </m:r>
        <m:r>
          <m:rPr>
            <m:sty m:val="p"/>
          </m:rPr>
          <m:t>=</m:t>
        </m:r>
        <m:r>
          <m:rPr>
            <m:sty m:val="p"/>
          </m:rPr>
          <m:t>ln</m:t>
        </m:r>
        <m:d>
          <m:dPr>
            <m:begChr m:val="("/>
            <m:endChr m:val=")"/>
            <m:sepChr m:val=""/>
            <m:grow/>
          </m:dPr>
          <m:e>
            <m:r>
              <m:t>T</m:t>
            </m:r>
          </m:e>
        </m:d>
      </m:oMath>
      <w:r>
        <w:t xml:space="preserve"> </w:t>
      </w:r>
      <w:r>
        <w:t xml:space="preserve">tem distribuição do valor extremo com densidade da forma:</w:t>
      </w:r>
    </w:p>
    <w:bookmarkEnd w:id="98"/>
    <w:bookmarkEnd w:id="99"/>
    <w:bookmarkStart w:id="115"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100"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t>  </m:t>
          </m:r>
          <m:d>
            <m:dPr>
              <m:begChr m:val="("/>
              <m:endChr m:val=")"/>
              <m:sepChr m:val=""/>
              <m:grow/>
            </m:dPr>
            <m:e>
              <m:r>
                <m:t>3.10</m:t>
              </m:r>
            </m:e>
          </m:d>
        </m:oMath>
      </m:oMathPara>
      <w:bookmarkEnd w:id="100"/>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101"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t>  </m:t>
          </m:r>
          <m:d>
            <m:dPr>
              <m:begChr m:val="("/>
              <m:endChr m:val=")"/>
              <m:sepChr m:val=""/>
              <m:grow/>
            </m:dPr>
            <m:e>
              <m:r>
                <m:t>3.11</m:t>
              </m:r>
            </m:e>
          </m:d>
        </m:oMath>
      </m:oMathPara>
      <w:bookmarkEnd w:id="101"/>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t> </m:t>
          </m:r>
          <m:r>
            <m:rPr>
              <m:nor/>
              <m:sty m:val="p"/>
            </m:rPr>
            <m:t> e </m:t>
          </m:r>
          <m:r>
            <m:t> </m:t>
          </m:r>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Afim de ilustrar para visualização e melhor aprendizado do autor e de quem for ler tal material foram simuladas as funções de sobrevivência, risco e risco acumulado variando o parâmetro</w:t>
      </w:r>
      <w:r>
        <w:t xml:space="preserve"> </w:t>
      </w:r>
      <m:oMath>
        <m:r>
          <m:t>μ</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[4] DISTRIBUIÇÃO LOG-NORMAL</w:t>
      </w:r>
      <w:r>
        <w:br/>
      </w:r>
      <w:r>
        <w:rPr>
          <w:rStyle w:val="CommentTok"/>
        </w:rPr>
        <w:t xml:space="preserve"># --------------------------</w:t>
      </w:r>
      <w:r>
        <w:br/>
      </w:r>
      <w:r>
        <w:br/>
      </w:r>
      <w:r>
        <w:rPr>
          <w:rStyle w:val="CommentTok"/>
        </w:rPr>
        <w:t xml:space="preserve"># -------------</w:t>
      </w:r>
      <w:r>
        <w:br/>
      </w:r>
      <w:r>
        <w:rPr>
          <w:rStyle w:val="CommentTok"/>
        </w:rPr>
        <w:t xml:space="preserve"># [4.1] FUNÇÕES</w:t>
      </w:r>
      <w:r>
        <w:br/>
      </w:r>
      <w:r>
        <w:rPr>
          <w:rStyle w:val="CommentTok"/>
        </w:rPr>
        <w:t xml:space="preserve"># -------------</w:t>
      </w:r>
      <w:r>
        <w:br/>
      </w:r>
      <w:r>
        <w:br/>
      </w:r>
      <w:r>
        <w:rPr>
          <w:rStyle w:val="CommentTok"/>
        </w:rPr>
        <w:t xml:space="preserve"># Função densidade (f)</w:t>
      </w:r>
      <w:r>
        <w:br/>
      </w:r>
      <w:r>
        <w:rPr>
          <w:rStyle w:val="NormalTok"/>
        </w:rPr>
        <w:t xml:space="preserve">ftLogNormal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Função de Sobrevivência (S)</w:t>
      </w:r>
      <w:r>
        <w:br/>
      </w:r>
      <w:r>
        <w:rPr>
          <w:rStyle w:val="NormalTok"/>
        </w:rPr>
        <w:t xml:space="preserve">StLogNormal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Função de Risco (h)</w:t>
      </w:r>
      <w:r>
        <w:br/>
      </w:r>
      <w:r>
        <w:rPr>
          <w:rStyle w:val="NormalTok"/>
        </w:rPr>
        <w:t xml:space="preserve">htLogNormal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ftLogNormal</w:t>
      </w:r>
      <w:r>
        <w:rPr>
          <w:rStyle w:val="NormalTok"/>
        </w:rPr>
        <w:t xml:space="preserve">(t, mu, sigma) </w:t>
      </w:r>
      <w:r>
        <w:rPr>
          <w:rStyle w:val="SpecialCharTok"/>
        </w:rPr>
        <w:t xml:space="preserve">/</w:t>
      </w:r>
      <w:r>
        <w:rPr>
          <w:rStyle w:val="NormalTok"/>
        </w:rPr>
        <w:t xml:space="preserve"> </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Função de Risco Acumulado (Lambda)</w:t>
      </w:r>
      <w:r>
        <w:br/>
      </w:r>
      <w:r>
        <w:rPr>
          <w:rStyle w:val="NormalTok"/>
        </w:rPr>
        <w:t xml:space="preserve">LtLogNormal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[4.2] SIMULAÇÃO E VARIAÇÃO DE PARÂMETROS</w:t>
      </w:r>
      <w:r>
        <w:br/>
      </w:r>
      <w:r>
        <w:rPr>
          <w:rStyle w:val="CommentTok"/>
        </w:rPr>
        <w:t xml:space="preserve"># ----------------------------------------</w:t>
      </w:r>
      <w:r>
        <w:br/>
      </w:r>
      <w:r>
        <w:br/>
      </w:r>
      <w:r>
        <w:rPr>
          <w:rStyle w:val="CommentTok"/>
        </w:rPr>
        <w:t xml:space="preserve"># Simulando dados da distribuição log-normal</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ft =</w:t>
      </w:r>
      <w:r>
        <w:rPr>
          <w:rStyle w:val="NormalTok"/>
        </w:rPr>
        <w:t xml:space="preserve"> </w:t>
      </w:r>
      <w:r>
        <w:rPr>
          <w:rStyle w:val="FunctionTok"/>
        </w:rPr>
        <w:t xml:space="preserve">ftLogNormal</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StLogNormal</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htLogNormal</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LtLogNormal</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[4.3]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mu))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(mus, </w:t>
      </w:r>
      <w:r>
        <w:rPr>
          <w:rStyle w:val="ControlFlowTok"/>
        </w:rPr>
        <w:t xml:space="preserve">function</w:t>
      </w:r>
      <w:r>
        <w:rPr>
          <w:rStyle w:val="NormalTok"/>
        </w:rPr>
        <w:t xml:space="preserve">(m) </w:t>
      </w:r>
      <w:r>
        <w:rPr>
          <w:rStyle w:val="FunctionTok"/>
        </w:rPr>
        <w:t xml:space="preserve">bquote</w:t>
      </w:r>
      <w:r>
        <w:rPr>
          <w:rStyle w:val="NormalTok"/>
        </w:rPr>
        <w:t xml:space="preserve">(mu </w:t>
      </w:r>
      <w:r>
        <w:rPr>
          <w:rStyle w:val="SpecialCharTok"/>
        </w:rPr>
        <w:t xml:space="preserve">==</w:t>
      </w:r>
      <w:r>
        <w:rPr>
          <w:rStyle w:val="NormalTok"/>
        </w:rPr>
        <w:t xml:space="preserve"> .(m))))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t xml:space="preserve">Veja a seguir a</w:t>
      </w:r>
      <w:r>
        <w:t xml:space="preserve"> </w:t>
      </w:r>
      <w:hyperlink w:anchor="fig-SobrLognormal">
        <w:r>
          <w:rPr>
            <w:rStyle w:val="Hyperlink"/>
          </w:rPr>
          <w:t xml:space="preserve">Figura 3.7</w:t>
        </w:r>
      </w:hyperlink>
      <w:r>
        <w:t xml:space="preserve">. Tal Figura mostra as curvas de sobrevivência para diferentes valores do parâmetro</w:t>
      </w:r>
      <w:r>
        <w:t xml:space="preserve"> </w:t>
      </w:r>
      <m:oMath>
        <m:r>
          <m:t>μ</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105" w:name="fig-SobrLognormal"/>
          <w:p>
            <w:pPr>
              <w:jc w:val="center"/>
            </w:pPr>
            <w:pPr>
              <w:jc w:val="start"/>
              <w:spacing w:before="200"/>
              <w:pStyle w:val="ImageCaption"/>
            </w:pPr>
            <w:r>
              <w:t xml:space="preserve">Figura 3.7: Função de Sobrevivência segundo uma Distribuição Log-Normal para diferentes valores do parâmetro de locação.</w:t>
            </w:r>
          </w:p>
          <w:p>
            <w:pPr>
              <w:pStyle w:val="Compact"/>
              <w:jc w:val="center"/>
            </w:pPr>
            <w:r>
              <w:drawing>
                <wp:inline>
                  <wp:extent cx="4620126" cy="3696101"/>
                  <wp:effectExtent b="0" l="0" r="0" t="0"/>
                  <wp:docPr descr="" title="" id="103" name="Picture"/>
                  <a:graphic>
                    <a:graphicData uri="http://schemas.openxmlformats.org/drawingml/2006/picture">
                      <pic:pic>
                        <pic:nvPicPr>
                          <pic:cNvPr descr="CIII_ModelProb_files/figure-docx/fig-SobrLognormal-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tc>
      </w:tr>
    </w:tbl>
    <w:p>
      <w:pPr>
        <w:pStyle w:val="BodyText"/>
      </w:pPr>
      <w:r>
        <w:t xml:space="preserve">Veja a seguir a</w:t>
      </w:r>
      <w:r>
        <w:t xml:space="preserve"> </w:t>
      </w:r>
      <w:hyperlink w:anchor="fig-RiscLognormal">
        <w:r>
          <w:rPr>
            <w:rStyle w:val="Hyperlink"/>
          </w:rPr>
          <w:t xml:space="preserve">Figura 3.8</w:t>
        </w:r>
      </w:hyperlink>
      <w:r>
        <w:t xml:space="preserve">. Tal Figura mostra a função de risco para diferentes valores do parâmetro</w:t>
      </w:r>
      <w:r>
        <w:t xml:space="preserve"> </w:t>
      </w:r>
      <m:oMath>
        <m:r>
          <m:t>μ</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109" w:name="fig-RiscLognormal"/>
          <w:p>
            <w:pPr>
              <w:jc w:val="center"/>
            </w:pPr>
            <w:pPr>
              <w:jc w:val="start"/>
              <w:spacing w:before="200"/>
              <w:pStyle w:val="ImageCaption"/>
            </w:pPr>
            <w:r>
              <w:t xml:space="preserve">Figura 3.8: Função de Risco segundo uma Distribuição Log-Normal para diferentes valores do parâmetro de locação.</w:t>
            </w:r>
          </w:p>
          <w:p>
            <w:pPr>
              <w:pStyle w:val="Compact"/>
              <w:jc w:val="center"/>
            </w:pPr>
            <w:r>
              <w:drawing>
                <wp:inline>
                  <wp:extent cx="4620126" cy="3696101"/>
                  <wp:effectExtent b="0" l="0" r="0" t="0"/>
                  <wp:docPr descr="" title="" id="107" name="Picture"/>
                  <a:graphic>
                    <a:graphicData uri="http://schemas.openxmlformats.org/drawingml/2006/picture">
                      <pic:pic>
                        <pic:nvPicPr>
                          <pic:cNvPr descr="CIII_ModelProb_files/figure-docx/fig-RiscLognormal-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tc>
      </w:tr>
    </w:tbl>
    <w:p>
      <w:pPr>
        <w:pStyle w:val="BodyText"/>
      </w:pPr>
      <w:r>
        <w:t xml:space="preserve">Veja a seguir a</w:t>
      </w:r>
      <w:r>
        <w:t xml:space="preserve"> </w:t>
      </w:r>
      <w:hyperlink w:anchor="fig-RiscAcumLognormal">
        <w:r>
          <w:rPr>
            <w:rStyle w:val="Hyperlink"/>
          </w:rPr>
          <w:t xml:space="preserve">Figura 3.9</w:t>
        </w:r>
      </w:hyperlink>
      <w:r>
        <w:t xml:space="preserve">. Tal Figura mostra a função de risco acumulado para diferentes valores do parâmetro</w:t>
      </w:r>
      <w:r>
        <w:t xml:space="preserve"> </w:t>
      </w:r>
      <m:oMath>
        <m:r>
          <m:t>μ</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113" w:name="fig-RiscAcumLognormal"/>
          <w:p>
            <w:pPr>
              <w:jc w:val="center"/>
            </w:pPr>
            <w:pPr>
              <w:jc w:val="start"/>
              <w:spacing w:before="200"/>
              <w:pStyle w:val="ImageCaption"/>
            </w:pPr>
            <w:r>
              <w:t xml:space="preserve">Figura 3.9: Função de Risco Acumulado segundo uma Distribuição Log-Normal para diferentes valores do parâmetro de locação.</w:t>
            </w:r>
          </w:p>
          <w:p>
            <w:pPr>
              <w:pStyle w:val="Compact"/>
              <w:jc w:val="center"/>
            </w:pPr>
            <w:r>
              <w:drawing>
                <wp:inline>
                  <wp:extent cx="4620126" cy="3696101"/>
                  <wp:effectExtent b="0" l="0" r="0" t="0"/>
                  <wp:docPr descr="" title="" id="111" name="Picture"/>
                  <a:graphic>
                    <a:graphicData uri="http://schemas.openxmlformats.org/drawingml/2006/picture">
                      <pic:pic>
                        <pic:nvPicPr>
                          <pic:cNvPr descr="CIII_ModelProb_files/figure-docx/fig-RiscAcumLognormal-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tc>
      </w:tr>
    </w:tbl>
    <w:bookmarkStart w:id="114" w:name="algumas-considerações-2"/>
    <w:p>
      <w:pPr>
        <w:pStyle w:val="Heading4"/>
      </w:pPr>
      <w:r>
        <w:t xml:space="preserve">3.2.3.1 Algumas Considerações</w:t>
      </w:r>
    </w:p>
    <w:p>
      <w:pPr>
        <w:pStyle w:val="FirstParagraph"/>
      </w:pPr>
      <w:r>
        <w:t xml:space="preserve">A média de</w:t>
      </w:r>
      <w:r>
        <w:t xml:space="preserve"> </w:t>
      </w:r>
      <m:oMath>
        <m:r>
          <m:t>T</m:t>
        </m:r>
      </m:oMath>
      <w:r>
        <w:t xml:space="preserve"> </w:t>
      </w:r>
      <w:r>
        <w:t xml:space="preserve">é dada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f>
            <m:fPr>
              <m:type m:val="bar"/>
            </m:fPr>
            <m:num>
              <m:sSup>
                <m:e>
                  <m:r>
                    <m:t>σ</m:t>
                  </m:r>
                </m:e>
                <m:sup>
                  <m:r>
                    <m:t>2</m:t>
                  </m:r>
                </m:sup>
              </m:sSup>
            </m:num>
            <m:den>
              <m:r>
                <m:t>2</m:t>
              </m:r>
            </m:den>
          </m:f>
          <m:r>
            <m:rPr>
              <m:sty m:val="p"/>
            </m:rPr>
            <m:t>}</m:t>
          </m:r>
          <m:r>
            <m:rPr>
              <m:sty m:val="p"/>
            </m:rPr>
            <m:t>,</m:t>
          </m:r>
        </m:oMath>
      </m:oMathPara>
    </w:p>
    <w:p>
      <w:pPr>
        <w:pStyle w:val="FirstParagraph"/>
      </w:pPr>
      <w:r>
        <w:t xml:space="preserve">e a variância de</w:t>
      </w:r>
      <w:r>
        <w:t xml:space="preserve"> </w:t>
      </w:r>
      <m:oMath>
        <m:r>
          <m:t>T</m:t>
        </m:r>
      </m:oMath>
      <w:r>
        <w:t xml:space="preserve"> </w:t>
      </w:r>
      <w:r>
        <w:t xml:space="preserve">definida como:</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rPr>
                  <m:sty m:val="p"/>
                </m:rPr>
                <m:t>−</m:t>
              </m:r>
              <m:r>
                <m:t>1</m:t>
              </m:r>
            </m:e>
          </m:d>
          <m:r>
            <m:rPr>
              <m:sty m:val="p"/>
            </m:rPr>
            <m:t>.</m:t>
          </m:r>
        </m:oMath>
      </m:oMathPara>
    </w:p>
    <w:bookmarkEnd w:id="114"/>
    <w:bookmarkEnd w:id="115"/>
    <w:bookmarkEnd w:id="116"/>
    <w:bookmarkStart w:id="149" w:name="estimação"/>
    <w:p>
      <w:pPr>
        <w:pStyle w:val="Heading2"/>
      </w:pPr>
      <w:r>
        <w:t xml:space="preserve">3.3 Estimação</w:t>
      </w:r>
    </w:p>
    <w:p>
      <w:pPr>
        <w:pStyle w:val="FirstParagraph"/>
      </w:pPr>
      <w:r>
        <w:t xml:space="preserve">Foi mostrado alguns modelos probabilísticos. Porém, tais modelos apresentam quantidades desconhecidas denominadas de parâmetros ou parâmetro quando o modelo de probabilidade depende apenas de uma quantidade desconhecida, por exemplo, a distribuição exponencial.</w:t>
      </w:r>
    </w:p>
    <w:bookmarkStart w:id="148"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se baseia na ideia de que, a partir de uma amostra aleatória, a estimativa para o parâmetro de interesse maximiza a probabilidade de tal amostra aleatória ser obtida.</w:t>
      </w:r>
    </w:p>
    <w:p>
      <w:pPr>
        <w:pStyle w:val="BodyText"/>
      </w:pPr>
      <w:r>
        <w:t xml:space="preserve">Em termos simples, o método de máxima verossimilhança condensa toda informação contida, através da função de verossimilhança, na amostra. Afim de encontrar o(s) parâmetro(s) da distribuição que melhor expliquem essa amostra é realizado o produtório da densidade (</w:t>
      </w:r>
      <m:oMath>
        <m:r>
          <m:t>f</m:t>
        </m:r>
        <m:d>
          <m:dPr>
            <m:begChr m:val="("/>
            <m:endChr m:val=")"/>
            <m:sepChr m:val=""/>
            <m:grow/>
          </m:dPr>
          <m:e>
            <m:r>
              <m:t>t</m:t>
            </m:r>
          </m:e>
        </m:d>
      </m:oMath>
      <w:r>
        <w:t xml:space="preserve">) para cada observação amostral</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de estatística básica, a seguinte definição da função verossimilhança é adotada, para um parâmetro (ou conjunto de parâmetros)</w:t>
      </w:r>
      <w:r>
        <w:t xml:space="preserve"> </w:t>
      </w:r>
      <m:oMath>
        <m:r>
          <m:t>θ</m:t>
        </m:r>
      </m:oMath>
      <w:r>
        <w:t xml:space="preserve"> </w:t>
      </w:r>
      <w:r>
        <w:t xml:space="preserve">qualquer:</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Perceba que</w:t>
      </w:r>
      <w:r>
        <w:t xml:space="preserve"> </w:t>
      </w:r>
      <m:oMath>
        <m:r>
          <m:t>L</m:t>
        </m:r>
      </m:oMath>
      <w:r>
        <w:t xml:space="preserve"> </w:t>
      </w:r>
      <w:r>
        <w:t xml:space="preserve">é função de</w:t>
      </w:r>
      <w:r>
        <w:t xml:space="preserve"> </w:t>
      </w:r>
      <m:oMath>
        <m:r>
          <m:t>θ</m:t>
        </m:r>
      </m:oMath>
      <w:r>
        <w:t xml:space="preserve">, sendo este um único parâmetro ou um conjunto de parâmetros, como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Entretanto, nota-se que para qualquer observação não censurada, sua contribuição para</w:t>
      </w:r>
      <w:r>
        <w:t xml:space="preserve"> </w:t>
      </w:r>
      <m:oMath>
        <m:r>
          <m:t>L</m:t>
        </m:r>
        <m:d>
          <m:dPr>
            <m:begChr m:val="("/>
            <m:endChr m:val=")"/>
            <m:sepChr m:val=""/>
            <m:grow/>
          </m:dPr>
          <m:e>
            <m:r>
              <m:t>θ</m:t>
            </m:r>
          </m:e>
        </m:d>
      </m:oMath>
      <w:r>
        <w:t xml:space="preserve"> </w:t>
      </w:r>
      <w:r>
        <w:t xml:space="preserve">é a sua densidade, o que na análise de sobrevivência não é o suficiente, já que os dados apresentam censura, implicando no tempo de falha ser na verdade superior ao tempo de censura observado.</w:t>
      </w:r>
    </w:p>
    <w:p>
      <w:pPr>
        <w:pStyle w:val="BodyText"/>
      </w:pPr>
      <w:r>
        <w:t xml:space="preserve">Desta forma, faz-se uso da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nos diz se o</w:t>
      </w:r>
      <w:r>
        <w:t xml:space="preserve"> </w:t>
      </w:r>
      <m:oMath>
        <m:r>
          <m:t>i</m:t>
        </m:r>
      </m:oMath>
      <w:r>
        <w:t xml:space="preserve">-ésimo tempo é tempo de falha ou de censura. Logo, são feitos alguns ajustes na função de verossimilhança. Tais ajustes fazem com que para</w:t>
      </w:r>
      <w:r>
        <w:t xml:space="preserve"> </w:t>
      </w:r>
      <m:oMath>
        <m:sSub>
          <m:e>
            <m:r>
              <m:t>δ</m:t>
            </m:r>
          </m:e>
          <m:sub>
            <m:r>
              <m:t>i</m:t>
            </m:r>
          </m:sub>
        </m:sSub>
        <m:r>
          <m:rPr>
            <m:sty m:val="p"/>
          </m:rPr>
          <m:t>=</m:t>
        </m:r>
        <m:r>
          <m:t>1</m:t>
        </m:r>
      </m:oMath>
      <w:r>
        <w:t xml:space="preserve">, o</w:t>
      </w:r>
      <w:r>
        <w:t xml:space="preserve"> </w:t>
      </w:r>
      <m:oMath>
        <m:r>
          <m:t>i</m:t>
        </m:r>
      </m:oMath>
      <w:r>
        <w:t xml:space="preserve">-ésimo tempo é tempo de falha e a contribução para</w:t>
      </w:r>
      <w:r>
        <w:t xml:space="preserve"> </w:t>
      </w:r>
      <m:oMath>
        <m:r>
          <m:t>L</m:t>
        </m:r>
      </m:oMath>
      <w:r>
        <w:t xml:space="preserve"> </w:t>
      </w:r>
      <w:r>
        <w:t xml:space="preserve">é a própria função densidade de probabilidade, em contraste a isso, se</w:t>
      </w:r>
      <w:r>
        <w:t xml:space="preserve"> </w:t>
      </w:r>
      <m:oMath>
        <m:sSub>
          <m:e>
            <m:r>
              <m:t>δ</m:t>
            </m:r>
          </m:e>
          <m:sub>
            <m:r>
              <m:t>i</m:t>
            </m:r>
          </m:sub>
        </m:sSub>
        <m:r>
          <m:rPr>
            <m:sty m:val="p"/>
          </m:rPr>
          <m:t>=</m:t>
        </m:r>
        <m:r>
          <m:t>0</m:t>
        </m:r>
      </m:oMath>
      <w:r>
        <w:t xml:space="preserve">, o</w:t>
      </w:r>
      <w:r>
        <w:t xml:space="preserve"> </w:t>
      </w:r>
      <m:oMath>
        <m:r>
          <m:t>i</m:t>
        </m:r>
      </m:oMath>
      <w:r>
        <w:t xml:space="preserve">-ésimo tempo é tempo de censura e a contribuição dessa observação é a função de sobrevivência. Assim, a função de verossimilhança para um parâmetro ou um conjunto de parâmetros</w:t>
      </w:r>
      <w:r>
        <w:t xml:space="preserve"> </w:t>
      </w:r>
      <m:oMath>
        <m:r>
          <m:t>θ</m:t>
        </m:r>
      </m:oMath>
      <w:r>
        <w:t xml:space="preserve"> </w:t>
      </w:r>
      <w:r>
        <w:t xml:space="preserve">pode ser escrita como:</w:t>
      </w:r>
    </w:p>
    <w:p>
      <w:pPr>
        <w:pStyle w:val="BodyText"/>
      </w:pPr>
      <w:bookmarkStart w:id="117"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 </m:t>
              </m:r>
            </m:e>
          </m:nary>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r>
            <m:t> </m:t>
          </m:r>
          <m:sSup>
            <m:e>
              <m:d>
                <m:dPr>
                  <m:begChr m:val="["/>
                  <m:endChr m:val="]"/>
                  <m:sepChr m:val=""/>
                  <m:grow/>
                </m:dPr>
                <m:e>
                  <m:r>
                    <m:t>S</m:t>
                  </m:r>
                  <m:d>
                    <m:dPr>
                      <m:begChr m:val="("/>
                      <m:endChr m:val=")"/>
                      <m:sepChr m:val=""/>
                      <m:grow/>
                    </m:dPr>
                    <m:e>
                      <m:sSub>
                        <m:e>
                          <m:r>
                            <m:t>t</m:t>
                          </m:r>
                        </m:e>
                        <m:sub>
                          <m:r>
                            <m:t>i</m:t>
                          </m:r>
                        </m:sub>
                      </m:sSub>
                    </m:e>
                  </m:d>
                </m:e>
              </m:d>
            </m:e>
            <m:sup>
              <m:r>
                <m:t>1</m:t>
              </m:r>
              <m:r>
                <m:rPr>
                  <m:sty m:val="p"/>
                </m:rPr>
                <m:t>−</m:t>
              </m:r>
              <m:sSub>
                <m:e>
                  <m:r>
                    <m:t>δ</m:t>
                  </m:r>
                </m:e>
                <m:sub>
                  <m:r>
                    <m:t>i</m:t>
                  </m:r>
                </m:sub>
              </m:sSub>
            </m:sup>
          </m:sSup>
          <m:r>
            <m:t>  </m:t>
          </m:r>
          <m:d>
            <m:dPr>
              <m:begChr m:val="("/>
              <m:endChr m:val=")"/>
              <m:sepChr m:val=""/>
              <m:grow/>
            </m:dPr>
            <m:e>
              <m:r>
                <m:t>3.12</m:t>
              </m:r>
            </m:e>
          </m:d>
        </m:oMath>
      </m:oMathPara>
      <w:bookmarkEnd w:id="117"/>
    </w:p>
    <w:p>
      <w:pPr>
        <w:pStyle w:val="FirstParagraph"/>
      </w:pPr>
      <w:r>
        <w:t xml:space="preserve">A partir da deriva do log da verossimilhança igualada a zero,</w:t>
      </w:r>
    </w:p>
    <w:p>
      <w:pPr>
        <w:pStyle w:val="BodyText"/>
      </w:pPr>
      <m:oMathPara>
        <m:oMathParaPr>
          <m:jc m:val="center"/>
        </m:oMathParaP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r>
            <m:rPr>
              <m:sty m:val="p"/>
            </m:rPr>
            <m:t>,</m:t>
          </m:r>
        </m:oMath>
      </m:oMathPara>
    </w:p>
    <w:p>
      <w:pPr>
        <w:pStyle w:val="FirstParagraph"/>
      </w:pPr>
      <w:r>
        <w:t xml:space="preserve">é possível encontrar um valor para</w:t>
      </w:r>
      <w:r>
        <w:t xml:space="preserve"> </w:t>
      </w:r>
      <m:oMath>
        <m:r>
          <m:t>θ</m:t>
        </m:r>
      </m:oMath>
      <w:r>
        <w:t xml:space="preserve"> </w:t>
      </w:r>
      <w:r>
        <w:t xml:space="preserve">que maximize</w:t>
      </w:r>
      <w:r>
        <w:t xml:space="preserve"> </w:t>
      </w:r>
      <m:oMath>
        <m:r>
          <m:rPr>
            <m:sty m:val="p"/>
          </m:rPr>
          <m:t>ln</m:t>
        </m:r>
        <m:r>
          <m:t>L</m:t>
        </m:r>
        <m:d>
          <m:dPr>
            <m:begChr m:val="("/>
            <m:endChr m:val=")"/>
            <m:sepChr m:val=""/>
            <m:grow/>
          </m:dPr>
          <m:e>
            <m:r>
              <m:t>θ</m:t>
            </m:r>
          </m:e>
        </m:d>
      </m:oMath>
      <w:r>
        <w:t xml:space="preserve">, portanto, maximize</w:t>
      </w:r>
      <w:r>
        <w:t xml:space="preserve"> </w:t>
      </w:r>
      <m:oMath>
        <m:r>
          <m:t>L</m:t>
        </m:r>
        <m:d>
          <m:dPr>
            <m:begChr m:val="("/>
            <m:endChr m:val=")"/>
            <m:sepChr m:val=""/>
            <m:grow/>
          </m:dPr>
          <m:e>
            <m:r>
              <m:t>θ</m:t>
            </m:r>
          </m:e>
        </m:d>
      </m:oMath>
      <w:r>
        <w:t xml:space="preserve">.</w:t>
      </w:r>
    </w:p>
    <w:bookmarkStart w:id="131" w:name="aplicações"/>
    <w:p>
      <w:pPr>
        <w:pStyle w:val="Heading4"/>
      </w:pPr>
      <w:r>
        <w:t xml:space="preserve">3.3.1.1 Aplicações</w:t>
      </w:r>
    </w:p>
    <w:p>
      <w:pPr>
        <w:pStyle w:val="FirstParagraph"/>
      </w:pPr>
      <w:r>
        <w:t xml:space="preserve">Será mostrado nessa seção como encontrar o estimador ou estimadores de máxima verossimilhança para os parâmetros das disitribuições citadas.</w:t>
      </w:r>
    </w:p>
    <w:bookmarkStart w:id="123" w:name="distribuição-exponecial"/>
    <w:p>
      <w:pPr>
        <w:pStyle w:val="Heading5"/>
      </w:pPr>
      <w:r>
        <w:t xml:space="preserve">3.3.1.1.1 Distribuição Exponecial</w:t>
      </w:r>
    </w:p>
    <w:p>
      <w:pPr>
        <w:pStyle w:val="FirstParagraph"/>
      </w:pPr>
      <w:r>
        <w:t xml:space="preserve">Para uma distribuição exponencial conforme descrita na</w:t>
      </w:r>
      <w:r>
        <w:t xml:space="preserve"> </w:t>
      </w:r>
      <w:hyperlink w:anchor="sec-DistExp">
        <w:r>
          <w:rPr>
            <w:rStyle w:val="Hyperlink"/>
          </w:rPr>
          <w:t xml:space="preserve">Seção 3.2.1</w:t>
        </w:r>
      </w:hyperlink>
      <w:r>
        <w:t xml:space="preserve">. O</w:t>
      </w:r>
      <w:r>
        <w:t xml:space="preserve"> </w:t>
      </w:r>
      <w:r>
        <w:rPr>
          <w:i/>
          <w:iCs/>
        </w:rPr>
        <w:t xml:space="preserve">Estimador de Máxima Verossimilhança</w:t>
      </w:r>
      <w:r>
        <w:t xml:space="preserve"> </w:t>
      </w:r>
      <w:r>
        <w:t xml:space="preserve">do parâmetro</w:t>
      </w:r>
      <w:r>
        <w:t xml:space="preserve"> </w:t>
      </w:r>
      <m:oMath>
        <m:r>
          <m:t>α</m:t>
        </m:r>
      </m:oMath>
      <w:r>
        <w:t xml:space="preserve"> </w:t>
      </w:r>
      <w:r>
        <w:t xml:space="preserve">pode ser obtido de acordo com os seguintes passos:</w:t>
      </w:r>
    </w:p>
    <w:p>
      <w:pPr>
        <w:pStyle w:val="Compact"/>
        <w:numPr>
          <w:ilvl w:val="0"/>
          <w:numId w:val="1005"/>
        </w:numPr>
      </w:pPr>
      <w:r>
        <w:t xml:space="preserve">Determinar a função verossimilhança</w:t>
      </w:r>
      <w:r>
        <w:t xml:space="preserve"> </w:t>
      </w:r>
      <m:oMath>
        <m:r>
          <m:t>L</m:t>
        </m:r>
        <m:d>
          <m:dPr>
            <m:begChr m:val="("/>
            <m:endChr m:val=")"/>
            <m:sepChr m:val=""/>
            <m:grow/>
          </m:dPr>
          <m:e>
            <m:r>
              <m:t>α</m:t>
            </m:r>
          </m:e>
        </m:d>
      </m:oMath>
      <w:r>
        <w:t xml:space="preserve">:</w:t>
      </w:r>
    </w:p>
    <w:p>
      <w:pPr>
        <w:pStyle w:val="Compact"/>
        <w:numPr>
          <w:ilvl w:val="0"/>
          <w:numId w:val="1006"/>
        </w:numPr>
      </w:pPr>
      <w:r>
        <w:t xml:space="preserve">Tomar o logaritmo da função verossimilhança</w:t>
      </w:r>
      <w:r>
        <w:t xml:space="preserve"> </w:t>
      </w:r>
      <m:oMath>
        <m:r>
          <m:rPr>
            <m:sty m:val="p"/>
          </m:rPr>
          <m:t>ln</m:t>
        </m:r>
        <m:r>
          <m:t>L</m:t>
        </m:r>
        <m:d>
          <m:dPr>
            <m:begChr m:val="("/>
            <m:endChr m:val=")"/>
            <m:sepChr m:val=""/>
            <m:grow/>
          </m:dPr>
          <m:e>
            <m:r>
              <m:t>α</m:t>
            </m:r>
          </m:e>
        </m:d>
      </m:oMath>
      <w:r>
        <w:t xml:space="preserve">:</w:t>
      </w:r>
    </w:p>
    <w:p>
      <w:pPr>
        <w:pStyle w:val="Compact"/>
        <w:numPr>
          <w:ilvl w:val="0"/>
          <w:numId w:val="1007"/>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FirstParagraph"/>
      </w:pPr>
      <w:r>
        <w:t xml:space="preserve">Ao igualar a derivada a zero e isolando</w:t>
      </w:r>
      <w:r>
        <w:t xml:space="preserve"> </w:t>
      </w:r>
      <m:oMath>
        <m:r>
          <m:t>α</m:t>
        </m:r>
      </m:oMath>
      <w:r>
        <w:t xml:space="preserve"> </w:t>
      </w:r>
      <w:r>
        <w:t xml:space="preserve">em um dos lados da igualdade e assuminado que a forma análitica de</w:t>
      </w:r>
      <w:r>
        <w:t xml:space="preserve"> </w:t>
      </w:r>
      <m:oMath>
        <m:r>
          <m:t>α</m:t>
        </m:r>
      </m:oMath>
      <w:r>
        <w:t xml:space="preserve"> </w:t>
      </w:r>
      <w:r>
        <w:t xml:space="preserve">obtida é um estimador de máxima verossimilhança temos:</w:t>
      </w:r>
    </w:p>
    <w:p>
      <w:pPr>
        <w:pStyle w:val="BodyText"/>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w:t>
      </w:r>
    </w:p>
    <w:p>
      <w:pPr>
        <w:pStyle w:val="BodyText"/>
      </w:pPr>
      <w:r>
        <w:t xml:space="preserve">A seguir, temos um exemplo computacional. Simulou-se uma amostra proveniente de uma distribuição exponecial e a partir de tal amostra se obteve a estimativa de máxima verossimilhança do parâmetro</w:t>
      </w:r>
      <w:r>
        <w:t xml:space="preserve"> </w:t>
      </w:r>
      <m:oMath>
        <m:r>
          <m:t>α</m:t>
        </m:r>
      </m:oMath>
      <w:r>
        <w:t xml:space="preserve"> </w:t>
      </w:r>
      <w:r>
        <w:t xml:space="preserve">de tal amostra.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[2.1] FUNÇÕES</w:t>
      </w:r>
      <w:r>
        <w:br/>
      </w:r>
      <w:r>
        <w:rPr>
          <w:rStyle w:val="CommentTok"/>
        </w:rPr>
        <w:t xml:space="preserve"># -------------</w:t>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taxa (escala) populacional</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Simulando dados de uma exponencial</w:t>
      </w:r>
      <w:r>
        <w:br/>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EMV</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emvSt =</w:t>
      </w:r>
      <w:r>
        <w:rPr>
          <w:rStyle w:val="NormalTok"/>
        </w:rPr>
        <w:t xml:space="preserve"> </w:t>
      </w:r>
      <w:r>
        <w:rPr>
          <w:rStyle w:val="FunctionTok"/>
        </w:rPr>
        <w:t xml:space="preserve">Stexp</w:t>
      </w:r>
      <w:r>
        <w:rPr>
          <w:rStyle w:val="NormalTok"/>
        </w:rPr>
        <w:t xml:space="preserve">(tempo, emvExp)</w:t>
      </w:r>
      <w:r>
        <w:br/>
      </w:r>
      <w:r>
        <w:rPr>
          <w:rStyle w:val="NormalTok"/>
        </w:rPr>
        <w:t xml:space="preserve">)</w:t>
      </w:r>
    </w:p>
    <w:p>
      <w:pPr>
        <w:pStyle w:val="FirstParagraph"/>
      </w:pPr>
      <w:r>
        <w:t xml:space="preserve">O valor de verdadeiro do parâmetro</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w:t>
      </w:r>
    </w:p>
    <w:p>
      <w:pPr>
        <w:pStyle w:val="BodyText"/>
      </w:pPr>
      <w:r>
        <w:t xml:space="preserve">Veja a</w:t>
      </w:r>
      <w:r>
        <w:t xml:space="preserve"> </w:t>
      </w:r>
      <w:hyperlink w:anchor="tbl-EMVexpSt">
        <w:r>
          <w:rPr>
            <w:rStyle w:val="Hyperlink"/>
          </w:rPr>
          <w:t xml:space="preserve">Tabela 3.1</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(kableExtra)</w:t>
      </w:r>
    </w:p>
    <w:p>
      <w:pPr>
        <w:pStyle w:val="SourceCode"/>
      </w:pPr>
      <w:r>
        <w:br/>
      </w:r>
      <w:r>
        <w:rPr>
          <w:rStyle w:val="VerbatimChar"/>
        </w:rPr>
        <w:t xml:space="preserve">Anexando pacote: 'kableExtra'</w:t>
      </w:r>
    </w:p>
    <w:p>
      <w:pPr>
        <w:pStyle w:val="SourceCode"/>
      </w:pPr>
      <w:r>
        <w:rPr>
          <w:rStyle w:val="VerbatimChar"/>
        </w:rPr>
        <w:t xml:space="preserve">O seguinte objeto é mascarado por 'package:dplyr':</w:t>
      </w:r>
      <w:r>
        <w:br/>
      </w:r>
      <w:r>
        <w:br/>
      </w:r>
      <w:r>
        <w:rPr>
          <w:rStyle w:val="VerbatimChar"/>
        </w:rPr>
        <w:t xml:space="preserve">    group_rows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(dados),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8" w:name="tbl-EMVexpSt"/>
          <w:p>
            <w:pPr>
              <w:jc w:val="center"/>
            </w:pPr>
            <w:pPr>
              <w:jc w:val="start"/>
              <w:spacing w:before="200"/>
              <w:pStyle w:val="ImageCaption"/>
            </w:pPr>
            <w:r>
              <w:t xml:space="preserve">Tabela 3.1: Real e Estimado para as Funções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0.5623048</w:t>
                  </w:r>
                </w:p>
              </w:tc>
              <w:tc>
                <w:tcPr/>
                <w:p>
                  <w:pPr>
                    <w:pStyle w:val="Compact"/>
                    <w:jc w:val="center"/>
                    <w:jc w:val="center"/>
                  </w:pPr>
                  <w:r>
                    <w:t xml:space="preserve">0.4302206</w:t>
                  </w:r>
                </w:p>
              </w:tc>
              <w:tc>
                <w:tcPr/>
                <w:p>
                  <w:pPr>
                    <w:pStyle w:val="Compact"/>
                    <w:jc w:val="center"/>
                    <w:jc w:val="center"/>
                  </w:pPr>
                  <w:r>
                    <w:t xml:space="preserve">0.4409133</w:t>
                  </w:r>
                </w:p>
              </w:tc>
            </w:tr>
            <w:tr>
              <w:tc>
                <w:tcPr/>
                <w:p>
                  <w:pPr>
                    <w:pStyle w:val="Compact"/>
                    <w:jc w:val="center"/>
                    <w:jc w:val="center"/>
                  </w:pPr>
                  <w:r>
                    <w:t xml:space="preserve">0.3844068</w:t>
                  </w:r>
                </w:p>
              </w:tc>
              <w:tc>
                <w:tcPr/>
                <w:p>
                  <w:pPr>
                    <w:pStyle w:val="Compact"/>
                    <w:jc w:val="center"/>
                    <w:jc w:val="center"/>
                  </w:pPr>
                  <w:r>
                    <w:t xml:space="preserve">0.5617995</w:t>
                  </w:r>
                </w:p>
              </w:tc>
              <w:tc>
                <w:tcPr/>
                <w:p>
                  <w:pPr>
                    <w:pStyle w:val="Compact"/>
                    <w:jc w:val="center"/>
                    <w:jc w:val="center"/>
                  </w:pPr>
                  <w:r>
                    <w:t xml:space="preserve">0.5713079</w:t>
                  </w:r>
                </w:p>
              </w:tc>
            </w:tr>
            <w:tr>
              <w:tc>
                <w:tcPr/>
                <w:p>
                  <w:pPr>
                    <w:pStyle w:val="Compact"/>
                    <w:jc w:val="center"/>
                    <w:jc w:val="center"/>
                  </w:pPr>
                  <w:r>
                    <w:t xml:space="preserve">0.8860366</w:t>
                  </w:r>
                </w:p>
              </w:tc>
              <w:tc>
                <w:tcPr/>
                <w:p>
                  <w:pPr>
                    <w:pStyle w:val="Compact"/>
                    <w:jc w:val="center"/>
                    <w:jc w:val="center"/>
                  </w:pPr>
                  <w:r>
                    <w:t xml:space="preserve">0.2647273</w:t>
                  </w:r>
                </w:p>
              </w:tc>
              <w:tc>
                <w:tcPr/>
                <w:p>
                  <w:pPr>
                    <w:pStyle w:val="Compact"/>
                    <w:jc w:val="center"/>
                    <w:jc w:val="center"/>
                  </w:pPr>
                  <w:r>
                    <w:t xml:space="preserve">0.2751688</w:t>
                  </w:r>
                </w:p>
              </w:tc>
            </w:tr>
            <w:tr>
              <w:tc>
                <w:tcPr/>
                <w:p>
                  <w:pPr>
                    <w:pStyle w:val="Compact"/>
                    <w:jc w:val="center"/>
                    <w:jc w:val="center"/>
                  </w:pPr>
                  <w:r>
                    <w:t xml:space="preserve">0.0210516</w:t>
                  </w:r>
                </w:p>
              </w:tc>
              <w:tc>
                <w:tcPr/>
                <w:p>
                  <w:pPr>
                    <w:pStyle w:val="Compact"/>
                    <w:jc w:val="center"/>
                    <w:jc w:val="center"/>
                  </w:pPr>
                  <w:r>
                    <w:t xml:space="preserve">0.9689160</w:t>
                  </w:r>
                </w:p>
              </w:tc>
              <w:tc>
                <w:tcPr/>
                <w:p>
                  <w:pPr>
                    <w:pStyle w:val="Compact"/>
                    <w:jc w:val="center"/>
                    <w:jc w:val="center"/>
                  </w:pPr>
                  <w:r>
                    <w:t xml:space="preserve">0.9698070</w:t>
                  </w:r>
                </w:p>
              </w:tc>
            </w:tr>
            <w:tr>
              <w:tc>
                <w:tcPr/>
                <w:p>
                  <w:pPr>
                    <w:pStyle w:val="Compact"/>
                    <w:jc w:val="center"/>
                    <w:jc w:val="center"/>
                  </w:pPr>
                  <w:r>
                    <w:t xml:space="preserve">0.0374740</w:t>
                  </w:r>
                </w:p>
              </w:tc>
              <w:tc>
                <w:tcPr/>
                <w:p>
                  <w:pPr>
                    <w:pStyle w:val="Compact"/>
                    <w:jc w:val="center"/>
                    <w:jc w:val="center"/>
                  </w:pPr>
                  <w:r>
                    <w:t xml:space="preserve">0.9453397</w:t>
                  </w:r>
                </w:p>
              </w:tc>
              <w:tc>
                <w:tcPr/>
                <w:p>
                  <w:pPr>
                    <w:pStyle w:val="Compact"/>
                    <w:jc w:val="center"/>
                    <w:jc w:val="center"/>
                  </w:pPr>
                  <w:r>
                    <w:t xml:space="preserve">0.9468876</w:t>
                  </w:r>
                </w:p>
              </w:tc>
            </w:tr>
            <w:tr>
              <w:tc>
                <w:tcPr/>
                <w:p>
                  <w:pPr>
                    <w:pStyle w:val="Compact"/>
                    <w:jc w:val="center"/>
                    <w:jc w:val="center"/>
                  </w:pPr>
                  <w:r>
                    <w:t xml:space="preserve">0.2110008</w:t>
                  </w:r>
                </w:p>
              </w:tc>
              <w:tc>
                <w:tcPr/>
                <w:p>
                  <w:pPr>
                    <w:pStyle w:val="Compact"/>
                    <w:jc w:val="center"/>
                    <w:jc w:val="center"/>
                  </w:pPr>
                  <w:r>
                    <w:t xml:space="preserve">0.7286941</w:t>
                  </w:r>
                </w:p>
              </w:tc>
              <w:tc>
                <w:tcPr/>
                <w:p>
                  <w:pPr>
                    <w:pStyle w:val="Compact"/>
                    <w:jc w:val="center"/>
                    <w:jc w:val="center"/>
                  </w:pPr>
                  <w:r>
                    <w:t xml:space="preserve">0.7354381</w:t>
                  </w:r>
                </w:p>
              </w:tc>
            </w:tr>
          </w:tbl>
          <w:bookmarkEnd w:id="118"/>
          <w:p/>
        </w:tc>
      </w:tr>
    </w:tbl>
    <w:p>
      <w:pPr>
        <w:pStyle w:val="BodyText"/>
      </w:pPr>
      <w:r>
        <w:t xml:space="preserve">Temos também a comparação dessas duas curvas de sobrevivência, ilustradas na</w:t>
      </w:r>
      <w:r>
        <w:t xml:space="preserve"> </w:t>
      </w:r>
      <w:hyperlink w:anchor="fig-CompEMVexp">
        <w:r>
          <w:rPr>
            <w:rStyle w:val="Hyperlink"/>
          </w:rPr>
          <w:t xml:space="preserve">Figura 3.10</w:t>
        </w:r>
      </w:hyperlink>
      <w:r>
        <w:t xml:space="preserve">.</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2" w:name="fig-CompEMVexp"/>
          <w:p>
            <w:pPr>
              <w:jc w:val="center"/>
            </w:pPr>
            <w:pPr>
              <w:jc w:val="start"/>
              <w:spacing w:before="200"/>
              <w:pStyle w:val="ImageCaption"/>
            </w:pPr>
            <w:r>
              <w:t xml:space="preserve">Figura 3.10: Comparação do verdadeiro valor do parâmetro α com sua estimativa de máxima verossimilhança.</w:t>
            </w:r>
          </w:p>
          <w:p>
            <w:pPr>
              <w:pStyle w:val="Compact"/>
              <w:jc w:val="center"/>
            </w:pPr>
            <w:r>
              <w:drawing>
                <wp:inline>
                  <wp:extent cx="4620126" cy="3696101"/>
                  <wp:effectExtent b="0" l="0" r="0" t="0"/>
                  <wp:docPr descr="" title="" id="120" name="Picture"/>
                  <a:graphic>
                    <a:graphicData uri="http://schemas.openxmlformats.org/drawingml/2006/picture">
                      <pic:pic>
                        <pic:nvPicPr>
                          <pic:cNvPr descr="CIII_ModelProb_files/figure-docx/fig-CompEMVexp-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tc>
      </w:tr>
    </w:tbl>
    <w:bookmarkEnd w:id="123"/>
    <w:bookmarkStart w:id="129" w:name="distribuição-weibull"/>
    <w:p>
      <w:pPr>
        <w:pStyle w:val="Heading5"/>
      </w:pPr>
      <w:r>
        <w:t xml:space="preserve">3.3.1.1.2 Distribuição Weibull</w:t>
      </w:r>
    </w:p>
    <w:p>
      <w:pPr>
        <w:pStyle w:val="FirstParagraph"/>
      </w:pPr>
      <w:r>
        <w:t xml:space="preserve">Para uma distribuição Weibull, descrita na</w:t>
      </w:r>
      <w:r>
        <w:t xml:space="preserve"> </w:t>
      </w:r>
      <w:hyperlink w:anchor="sec-DistWeibull">
        <w:r>
          <w:rPr>
            <w:rStyle w:val="Hyperlink"/>
          </w:rPr>
          <w:t xml:space="preserve">Seção 3.2.2</w:t>
        </w:r>
      </w:hyperlink>
      <w:r>
        <w:t xml:space="preserve"> </w:t>
      </w:r>
      <w:r>
        <w:t xml:space="preserve">não há uma forma análitica para</w:t>
      </w:r>
      <w:r>
        <w:t xml:space="preserve"> </w:t>
      </w:r>
      <m:oMath>
        <m:r>
          <m:t>γ</m:t>
        </m:r>
      </m:oMath>
      <w:r>
        <w:t xml:space="preserve"> </w:t>
      </w:r>
      <w:r>
        <w:t xml:space="preserve">e</w:t>
      </w:r>
      <w:r>
        <w:t xml:space="preserve"> </w:t>
      </w:r>
      <m:oMath>
        <m:r>
          <m:t>α</m:t>
        </m:r>
      </m:oMath>
      <w:r>
        <w:t xml:space="preserve">. Logo, para obter a sua estimativa de máxima verossimilhança se usa um método de aproximação numérica, será introduzido aqui o</w:t>
      </w:r>
      <w:r>
        <w:t xml:space="preserve"> </w:t>
      </w:r>
      <w:r>
        <w:rPr>
          <w:i/>
          <w:iCs/>
        </w:rPr>
        <w:t xml:space="preserve">Método Iterativo de Newton-Raphson</w:t>
      </w:r>
      <w:r>
        <w:t xml:space="preserve">.</w:t>
      </w:r>
    </w:p>
    <w:p>
      <w:pPr>
        <w:pStyle w:val="BodyText"/>
      </w:pPr>
      <w:r>
        <w:t xml:space="preserve">O</w:t>
      </w:r>
      <w:r>
        <w:t xml:space="preserve"> </w:t>
      </w:r>
      <w:r>
        <w:rPr>
          <w:b/>
          <w:bCs/>
        </w:rPr>
        <w:t xml:space="preserve">Método de Newton-Raphson</w:t>
      </w:r>
      <w:r>
        <w:t xml:space="preserve"> </w:t>
      </w:r>
      <w:r>
        <w:t xml:space="preserve">é uma abordagem iterativa eficiente para resolver equações não lineares, sendo amplamente utilizado na estimação de parâmetros de distribuições estatísticas. Quando aplicado ao ajuste de distribuições, como a</w:t>
      </w:r>
      <w:r>
        <w:t xml:space="preserve"> </w:t>
      </w:r>
      <w:r>
        <w:rPr>
          <w:b/>
          <w:bCs/>
        </w:rPr>
        <w:t xml:space="preserve">Weibull</w:t>
      </w:r>
      <w:r>
        <w:t xml:space="preserve"> </w:t>
      </w:r>
      <w:r>
        <w:t xml:space="preserve">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08"/>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08"/>
        </w:numPr>
      </w:pPr>
      <m:oMath>
        <m:r>
          <m:t>L</m:t>
        </m:r>
        <m:d>
          <m:dPr>
            <m:begChr m:val="("/>
            <m:endChr m:val=")"/>
            <m:sepChr m:val=""/>
            <m:grow/>
          </m:dPr>
          <m:e>
            <m:r>
              <m:t>θ</m:t>
            </m:r>
          </m:e>
        </m:d>
      </m:oMath>
      <w:r>
        <w:t xml:space="preserve"> </w:t>
      </w:r>
      <w:r>
        <w:t xml:space="preserve">é a função log-verossimilhança;</w:t>
      </w:r>
    </w:p>
    <w:p>
      <w:pPr>
        <w:pStyle w:val="Compact"/>
        <w:numPr>
          <w:ilvl w:val="0"/>
          <w:numId w:val="1008"/>
        </w:numPr>
      </w:pPr>
      <m:oMath>
        <m:r>
          <m:rPr>
            <m:sty m:val="p"/>
          </m:rPr>
          <m:t>∇</m:t>
        </m:r>
        <m:r>
          <m:t>L</m:t>
        </m:r>
        <m:d>
          <m:dPr>
            <m:begChr m:val="("/>
            <m:endChr m:val=")"/>
            <m:sepChr m:val=""/>
            <m:grow/>
          </m:dPr>
          <m:e>
            <m:r>
              <m:t>θ</m:t>
            </m:r>
          </m:e>
        </m:d>
      </m:oMath>
      <w:r>
        <w:t xml:space="preserve"> </w:t>
      </w:r>
      <w:r>
        <w:t xml:space="preserve">é o vetor gradiente (derivadas parciais de</w:t>
      </w:r>
      <w:r>
        <w:t xml:space="preserve"> </w:t>
      </w:r>
      <m:oMath>
        <m:r>
          <m:t>L</m:t>
        </m:r>
        <m:d>
          <m:dPr>
            <m:begChr m:val="("/>
            <m:endChr m:val=")"/>
            <m:sepChr m:val=""/>
            <m:grow/>
          </m:dPr>
          <m:e>
            <m:r>
              <m:t>θ</m:t>
            </m:r>
          </m:e>
        </m:d>
      </m:oMath>
      <w:r>
        <w:t xml:space="preserve">);</w:t>
      </w:r>
    </w:p>
    <w:p>
      <w:pPr>
        <w:pStyle w:val="Compact"/>
        <w:numPr>
          <w:ilvl w:val="0"/>
          <w:numId w:val="1008"/>
        </w:numPr>
      </w:pPr>
      <m:oMath>
        <m:r>
          <m:rPr>
            <m:sty m:val="b"/>
          </m:rPr>
          <m:t>H</m:t>
        </m:r>
        <m:d>
          <m:dPr>
            <m:begChr m:val="("/>
            <m:endChr m:val=")"/>
            <m:sepChr m:val=""/>
            <m:grow/>
          </m:dPr>
          <m:e>
            <m:r>
              <m:t>θ</m:t>
            </m:r>
          </m:e>
        </m:d>
      </m:oMath>
      <w:r>
        <w:t xml:space="preserve"> </w:t>
      </w:r>
      <w:r>
        <w:t xml:space="preserve">é a matriz Hessiana (segunda derivada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09"/>
        </w:numPr>
      </w:pPr>
      <w:r>
        <w:rPr>
          <w:b/>
          <w:bCs/>
        </w:rPr>
        <w:t xml:space="preserve">Eficiência</w:t>
      </w:r>
      <w:r>
        <w:t xml:space="preserve">: O método converge rapidamente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09"/>
        </w:numPr>
      </w:pPr>
      <w:r>
        <w:rPr>
          <w:b/>
          <w:bCs/>
        </w:rPr>
        <w:t xml:space="preserve">Flexibilidade</w:t>
      </w:r>
      <w:r>
        <w:t xml:space="preserve">: Adequa-se a diferentes modelos, como a distribuição Weibull, usada para modelar tempos de vida ou sobrevivência.</w:t>
      </w:r>
    </w:p>
    <w:p>
      <w:pPr>
        <w:pStyle w:val="FirstParagraph"/>
      </w:pPr>
      <w:r>
        <w:rPr>
          <w:b/>
          <w:bCs/>
        </w:rPr>
        <w:t xml:space="preserve">Cuidados na aplicação:</w:t>
      </w:r>
    </w:p>
    <w:p>
      <w:pPr>
        <w:pStyle w:val="Compact"/>
        <w:numPr>
          <w:ilvl w:val="0"/>
          <w:numId w:val="1010"/>
        </w:numPr>
      </w:pPr>
      <w:r>
        <w:rPr>
          <w:b/>
          <w:bCs/>
        </w:rPr>
        <w:t xml:space="preserve">Convergência</w:t>
      </w:r>
      <w:r>
        <w:t xml:space="preserve">: Garantida apenas se o ponto inicial estiver próximo da solução e as condições de regularidade forem atendidas.</w:t>
      </w:r>
    </w:p>
    <w:p>
      <w:pPr>
        <w:pStyle w:val="Compact"/>
        <w:numPr>
          <w:ilvl w:val="0"/>
          <w:numId w:val="1010"/>
        </w:numPr>
      </w:pPr>
      <w:r>
        <w:rPr>
          <w:b/>
          <w:bCs/>
        </w:rPr>
        <w:t xml:space="preserve">Cálculo da Hessiana</w:t>
      </w:r>
      <w:r>
        <w:t xml:space="preserve">: Pode ser computacionalmente intensivo para distribuições complexas.</w:t>
      </w:r>
    </w:p>
    <w:p>
      <w:pPr>
        <w:pStyle w:val="FirstParagraph"/>
      </w:pPr>
      <w:r>
        <w:t xml:space="preserve">No caso da distribuição Weibull, a aplicação do método Newton-Raphson envolve derivadas em relação aos parâmetros de forma (</w:t>
      </w:r>
      <m:oMath>
        <m:r>
          <m:t>γ</m:t>
        </m:r>
      </m:oMath>
      <w:r>
        <w:t xml:space="preserve">) e escala (</w:t>
      </w:r>
      <m:oMath>
        <m:r>
          <m:t>α</m:t>
        </m:r>
      </m:oMath>
      <w:r>
        <w:t xml:space="preserve">), permitindo ajustar o modelo aos dados observados de tempos de sobrevivência de forma precisa e eficiente.</w:t>
      </w:r>
    </w:p>
    <w:p>
      <w:pPr>
        <w:pStyle w:val="BodyText"/>
      </w:pPr>
      <w:r>
        <w:t xml:space="preserve">Para utilizar o Método Iterativo de Newton-Raphson, pode-se escrever o algoritmo passo a passo. Outra forma, é usar a função do R</w:t>
      </w:r>
      <w:r>
        <w:t xml:space="preserve"> </w:t>
      </w:r>
      <w:r>
        <w:rPr>
          <w:rStyle w:val="VerbatimChar"/>
        </w:rPr>
        <w:t xml:space="preserve">optim</w:t>
      </w:r>
      <w:r>
        <w:t xml:space="preserve">. Será aprensatado as duas formas e seus detalhes serão comentados.</w:t>
      </w:r>
    </w:p>
    <w:p>
      <w:pPr>
        <w:pStyle w:val="BodyText"/>
      </w:pPr>
      <w:r>
        <w:t xml:space="preserve">Começando pela construção do algoritmo passo a passo, precisamos definir algumas funções. A primeira é a função de verossimilhança da distribuição Weibull, que pode ser obtida a partir da</w:t>
      </w:r>
      <w:r>
        <w:t xml:space="preserve"> </w:t>
      </w:r>
      <w:hyperlink w:anchor="eq-verossilGeneric">
        <w:r>
          <w:rPr>
            <w:rStyle w:val="Hyperlink"/>
          </w:rPr>
          <w:t xml:space="preserve">Equação 3.12</w:t>
        </w:r>
      </w:hyperlink>
      <w:r>
        <w:t xml:space="preserve"> </w:t>
      </w:r>
      <w:r>
        <w:t xml:space="preserve">ao substituir respectivamente a função densidade e sobrevivência da distribuição Weibull respectivamente.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γ</m:t>
              </m:r>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γ</m:t>
              </m:r>
            </m:den>
          </m:f>
          <m:r>
            <m:rPr>
              <m:sty m:val="p"/>
            </m:rPr>
            <m:t>−</m:t>
          </m:r>
          <m:r>
            <m:rPr>
              <m:sty m:val="p"/>
            </m:rPr>
            <m:t>ln</m:t>
          </m:r>
          <m:r>
            <m:rPr>
              <m:sty m:val="p"/>
            </m:rPr>
            <m:t>{</m:t>
          </m:r>
          <m:r>
            <m:t>α</m:t>
          </m:r>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rPr>
              <m:sty m:val="p"/>
            </m:rPr>
            <m:t>{</m:t>
          </m:r>
          <m:sSub>
            <m:e>
              <m:r>
                <m:t>t</m:t>
              </m:r>
            </m:e>
            <m:sub>
              <m:r>
                <m:t>i</m:t>
              </m:r>
            </m:sub>
          </m:sSub>
          <m:r>
            <m:rPr>
              <m:sty m:val="p"/>
            </m:rPr>
            <m:t>}</m:t>
          </m:r>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oMath>
      </m:oMathPara>
    </w:p>
    <w:p>
      <w:pPr>
        <w:pStyle w:val="FirstParagraph"/>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α</m:t>
              </m:r>
            </m:den>
          </m:f>
          <m:r>
            <m:rPr>
              <m:sty m:val="p"/>
            </m:rPr>
            <m:t>=</m:t>
          </m:r>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γ</m:t>
                  </m:r>
                </m:e>
                <m:sup>
                  <m:r>
                    <m:t>2</m:t>
                  </m:r>
                </m:sup>
              </m:sSup>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sSup>
                <m:e>
                  <m:r>
                    <m:t>γ</m:t>
                  </m:r>
                </m:e>
                <m:sup>
                  <m:r>
                    <m:t>2</m:t>
                  </m:r>
                </m:sup>
              </m:sSup>
            </m:den>
          </m:f>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α</m:t>
                  </m:r>
                </m:e>
                <m:sup>
                  <m:r>
                    <m:t>2</m:t>
                  </m:r>
                </m:sup>
              </m:sSup>
            </m:den>
          </m:f>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sSup>
                <m:e>
                  <m:r>
                    <m:t>α</m:t>
                  </m:r>
                </m:e>
                <m:sup>
                  <m:r>
                    <m:t>2</m:t>
                  </m:r>
                </m:sup>
              </m:sSup>
            </m:den>
          </m:f>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r>
                <m:t>γ</m:t>
              </m:r>
              <m:r>
                <m:rPr>
                  <m:sty m:val="p"/>
                </m:rPr>
                <m:t>∂</m:t>
              </m:r>
              <m:r>
                <m:t>α</m:t>
              </m:r>
            </m:den>
          </m:f>
          <m:r>
            <m:rPr>
              <m:sty m:val="p"/>
            </m:rPr>
            <m:t>=</m:t>
          </m:r>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nary>
            <m:naryPr>
              <m:chr m:val="∑"/>
              <m:limLoc m:val="undOvr"/>
              <m:subHide m:val="off"/>
              <m:supHide m:val="off"/>
            </m:naryPr>
            <m:sub>
              <m:r>
                <m:t>i</m:t>
              </m:r>
              <m:r>
                <m:rPr>
                  <m:sty m:val="p"/>
                </m:rPr>
                <m:t>=</m:t>
              </m:r>
              <m:r>
                <m:t>1</m:t>
              </m:r>
            </m:sub>
            <m:sup>
              <m:r>
                <m:t>n</m:t>
              </m:r>
            </m:sup>
            <m:e>
              <m:f>
                <m:fPr>
                  <m:type m:val="bar"/>
                </m:fPr>
                <m:num>
                  <m:sSubSup>
                    <m:e>
                      <m:r>
                        <m:t>t</m:t>
                      </m:r>
                    </m:e>
                    <m:sub>
                      <m:r>
                        <m:t>i</m:t>
                      </m:r>
                    </m:sub>
                    <m:sup>
                      <m:r>
                        <m:t>γ</m:t>
                      </m:r>
                    </m:sup>
                  </m:sSubSup>
                </m:num>
                <m:den>
                  <m:sSup>
                    <m:e>
                      <m:r>
                        <m:t>α</m:t>
                      </m:r>
                    </m:e>
                    <m:sup>
                      <m:r>
                        <m:t>γ</m:t>
                      </m:r>
                      <m:r>
                        <m:rPr>
                          <m:sty m:val="p"/>
                        </m:rPr>
                        <m:t>+</m:t>
                      </m:r>
                      <m:r>
                        <m:t>1</m:t>
                      </m:r>
                    </m:sup>
                  </m:sSup>
                </m:den>
              </m:f>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FirstParagraph"/>
      </w:pPr>
      <w:r>
        <w:t xml:space="preserve">Com todas as derivadas definidas, é possível definirmos algumas funções e variáveis que iremos precisar para utilizar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de código abaixo contém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abaixo mostra o uso da função</w:t>
      </w:r>
      <w:r>
        <w:t xml:space="preserve"> </w:t>
      </w:r>
      <w:r>
        <w:rPr>
          <w:rStyle w:val="VerbatimChar"/>
        </w:rPr>
        <w:t xml:space="preserve">optim</w:t>
      </w:r>
      <w:r>
        <w:t xml:space="preserve"> </w:t>
      </w:r>
      <w:r>
        <w:t xml:space="preserve">para otimização.</w:t>
      </w:r>
    </w:p>
    <w:p>
      <w:pPr>
        <w:pStyle w:val="SourceCode"/>
      </w:pPr>
      <w:r>
        <w:rPr>
          <w:rStyle w:val="CommentTok"/>
        </w:rPr>
        <w:t xml:space="preserve"># ----------</w:t>
      </w:r>
      <w:r>
        <w:br/>
      </w:r>
      <w:r>
        <w:rPr>
          <w:rStyle w:val="CommentTok"/>
        </w:rPr>
        <w:t xml:space="preserve"># Otimização</w:t>
      </w:r>
      <w:r>
        <w:br/>
      </w:r>
      <w:r>
        <w:rPr>
          <w:rStyle w:val="CommentTok"/>
        </w:rPr>
        <w:t xml:space="preserve"># ----------</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w:t>
      </w:r>
      <w:r>
        <w:br/>
      </w:r>
      <w:r>
        <w:rPr>
          <w:rStyle w:val="CommentTok"/>
        </w:rPr>
        <w:t xml:space="preserve"># Simulação e Visualização do Dados</w:t>
      </w:r>
      <w:r>
        <w:br/>
      </w:r>
      <w:r>
        <w:rPr>
          <w:rStyle w:val="CommentTok"/>
        </w:rPr>
        <w:t xml:space="preserve"># ---------------------------------</w:t>
      </w:r>
      <w:r>
        <w:br/>
      </w:r>
      <w:r>
        <w:rPr>
          <w:rStyle w:val="CommentTok"/>
        </w:rPr>
        <w:t xml:space="preserve"># Tamanho da amostra</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Parâmetros da distribuição</w:t>
      </w:r>
      <w:r>
        <w:br/>
      </w:r>
      <w:r>
        <w:rPr>
          <w:rStyle w:val="NormalTok"/>
        </w:rPr>
        <w:t xml:space="preserve">wShape </w:t>
      </w:r>
      <w:r>
        <w:rPr>
          <w:rStyle w:val="OtherTok"/>
        </w:rPr>
        <w:t xml:space="preserve">&lt;-</w:t>
      </w:r>
      <w:r>
        <w:rPr>
          <w:rStyle w:val="NormalTok"/>
        </w:rPr>
        <w:t xml:space="preserve"> </w:t>
      </w:r>
      <w:r>
        <w:rPr>
          <w:rStyle w:val="DecValTok"/>
        </w:rPr>
        <w:t xml:space="preserve">2</w:t>
      </w:r>
      <w:r>
        <w:br/>
      </w:r>
      <w:r>
        <w:rPr>
          <w:rStyle w:val="NormalTok"/>
        </w:rPr>
        <w:t xml:space="preserve">wScale </w:t>
      </w:r>
      <w:r>
        <w:rPr>
          <w:rStyle w:val="OtherTok"/>
        </w:rPr>
        <w:t xml:space="preserve">&lt;-</w:t>
      </w:r>
      <w:r>
        <w:rPr>
          <w:rStyle w:val="NormalTok"/>
        </w:rPr>
        <w:t xml:space="preserve"> </w:t>
      </w:r>
      <w:r>
        <w:rPr>
          <w:rStyle w:val="FloatTok"/>
        </w:rPr>
        <w:t xml:space="preserve">1.5</w:t>
      </w:r>
      <w:r>
        <w:br/>
      </w:r>
      <w:r>
        <w:br/>
      </w:r>
      <w:r>
        <w:rPr>
          <w:rStyle w:val="CommentTok"/>
        </w:rPr>
        <w:t xml:space="preserve"># Simulação</w:t>
      </w:r>
      <w:r>
        <w:br/>
      </w:r>
      <w:r>
        <w:rPr>
          <w:rStyle w:val="NormalTok"/>
        </w:rPr>
        <w:t xml:space="preserve">dadosWeibull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wShape, </w:t>
      </w:r>
      <w:r>
        <w:rPr>
          <w:rStyle w:val="AttributeTok"/>
        </w:rPr>
        <w:t xml:space="preserve">scale =</w:t>
      </w:r>
      <w:r>
        <w:rPr>
          <w:rStyle w:val="NormalTok"/>
        </w:rPr>
        <w:t xml:space="preserve"> wScale)</w:t>
      </w:r>
      <w:r>
        <w:br/>
      </w:r>
      <w:r>
        <w:br/>
      </w:r>
      <w:r>
        <w:rPr>
          <w:rStyle w:val="CommentTok"/>
        </w:rPr>
        <w:t xml:space="preserve"># --------------------------</w:t>
      </w:r>
      <w:r>
        <w:br/>
      </w:r>
      <w:r>
        <w:rPr>
          <w:rStyle w:val="CommentTok"/>
        </w:rPr>
        <w:t xml:space="preserve"># Função Log-verossimilhança</w:t>
      </w:r>
      <w:r>
        <w:br/>
      </w:r>
      <w:r>
        <w:rPr>
          <w:rStyle w:val="CommentTok"/>
        </w:rPr>
        <w:t xml:space="preserve"># --------------------------</w:t>
      </w:r>
      <w:r>
        <w:br/>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(dados)</w:t>
      </w:r>
      <w:r>
        <w:br/>
      </w:r>
      <w:r>
        <w:rPr>
          <w:rStyle w:val="NormalTok"/>
        </w:rPr>
        <w:t xml:space="preserve">  t </w:t>
      </w:r>
      <w:r>
        <w:rPr>
          <w:rStyle w:val="OtherTok"/>
        </w:rPr>
        <w:t xml:space="preserve">&lt;-</w:t>
      </w:r>
      <w:r>
        <w:rPr>
          <w:rStyle w:val="NormalTok"/>
        </w:rPr>
        <w:t xml:space="preserve"> dados</w:t>
      </w:r>
      <w:r>
        <w:br/>
      </w:r>
      <w:r>
        <w:br/>
      </w:r>
      <w:r>
        <w:rPr>
          <w:rStyle w:val="NormalTok"/>
        </w:rPr>
        <w:t xml:space="preserve">logverossimil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FunctionTok"/>
        </w:rPr>
        <w:t xml:space="preserve">return</w:t>
      </w:r>
      <w:r>
        <w:rPr>
          <w:rStyle w:val="NormalTok"/>
        </w:rPr>
        <w:t xml:space="preserve">(</w:t>
      </w:r>
      <w:r>
        <w:rPr>
          <w:rStyle w:val="SpecialCharTok"/>
        </w:rPr>
        <w:t xml:space="preserve">-</w:t>
      </w:r>
      <w:r>
        <w:rPr>
          <w:rStyle w:val="NormalTok"/>
        </w:rPr>
        <w:t xml:space="preserve">logverossimil)</w:t>
      </w:r>
      <w:r>
        <w:br/>
      </w:r>
      <w:r>
        <w:rPr>
          <w:rStyle w:val="NormalTok"/>
        </w:rPr>
        <w:t xml:space="preserve">}</w:t>
      </w:r>
      <w:r>
        <w:br/>
      </w:r>
      <w:r>
        <w:br/>
      </w:r>
      <w:r>
        <w:rPr>
          <w:rStyle w:val="CommentTok"/>
        </w:rPr>
        <w:t xml:space="preserve"># ------------------------</w:t>
      </w:r>
      <w:r>
        <w:br/>
      </w:r>
      <w:r>
        <w:rPr>
          <w:rStyle w:val="CommentTok"/>
        </w:rPr>
        <w:t xml:space="preserve"># Aplicando a função optim</w:t>
      </w:r>
      <w:r>
        <w:br/>
      </w:r>
      <w:r>
        <w:rPr>
          <w:rStyle w:val="CommentTok"/>
        </w:rPr>
        <w:t xml:space="preserve"># ------------------------</w:t>
      </w:r>
      <w:r>
        <w:br/>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 </w:t>
      </w:r>
      <w:r>
        <w:rPr>
          <w:rStyle w:val="AttributeTok"/>
        </w:rPr>
        <w:t xml:space="preserve">gr =</w:t>
      </w:r>
      <w:r>
        <w:rPr>
          <w:rStyle w:val="NormalTok"/>
        </w:rPr>
        <w:t xml:space="preserve"> </w:t>
      </w:r>
      <w:r>
        <w:rPr>
          <w:rStyle w:val="ConstantTok"/>
        </w:rPr>
        <w:t xml:space="preserve">NULL</w:t>
      </w:r>
      <w:r>
        <w:rPr>
          <w:rStyle w:val="NormalTok"/>
        </w:rPr>
        <w:t xml:space="preserve"> ,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w:t>
      </w:r>
      <w:r>
        <w:rPr>
          <w:rStyle w:val="NormalTok"/>
        </w:rPr>
        <w:t xml:space="preserve">dadosWeibull)</w:t>
      </w:r>
      <w:r>
        <w:br/>
      </w:r>
      <w:r>
        <w:rPr>
          <w:rStyle w:val="NormalTok"/>
        </w:rPr>
        <w:t xml:space="preserve">estimate</w:t>
      </w:r>
    </w:p>
    <w:p>
      <w:pPr>
        <w:pStyle w:val="SourceCode"/>
      </w:pPr>
      <w:r>
        <w:rPr>
          <w:rStyle w:val="VerbatimChar"/>
        </w:rPr>
        <w:t xml:space="preserve">$par</w:t>
      </w:r>
      <w:r>
        <w:br/>
      </w:r>
      <w:r>
        <w:rPr>
          <w:rStyle w:val="VerbatimChar"/>
        </w:rPr>
        <w:t xml:space="preserve">[1] 2.015515 1.507207</w:t>
      </w:r>
      <w:r>
        <w:br/>
      </w:r>
      <w:r>
        <w:br/>
      </w:r>
      <w:r>
        <w:rPr>
          <w:rStyle w:val="VerbatimChar"/>
        </w:rPr>
        <w:t xml:space="preserve">$value</w:t>
      </w:r>
      <w:r>
        <w:br/>
      </w:r>
      <w:r>
        <w:rPr>
          <w:rStyle w:val="VerbatimChar"/>
        </w:rPr>
        <w:t xml:space="preserve">[1] 999.1172</w:t>
      </w:r>
      <w:r>
        <w:br/>
      </w:r>
      <w:r>
        <w:br/>
      </w:r>
      <w:r>
        <w:rPr>
          <w:rStyle w:val="VerbatimChar"/>
        </w:rPr>
        <w:t xml:space="preserve">$counts</w:t>
      </w:r>
      <w:r>
        <w:br/>
      </w:r>
      <w:r>
        <w:rPr>
          <w:rStyle w:val="VerbatimChar"/>
        </w:rPr>
        <w:t xml:space="preserve">function gradient </w:t>
      </w:r>
      <w:r>
        <w:br/>
      </w:r>
      <w:r>
        <w:rPr>
          <w:rStyle w:val="VerbatimChar"/>
        </w:rPr>
        <w:t xml:space="preserve">      52        9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451.7492 -281.952</w:t>
      </w:r>
      <w:r>
        <w:br/>
      </w:r>
      <w:r>
        <w:rPr>
          <w:rStyle w:val="VerbatimChar"/>
        </w:rPr>
        <w:t xml:space="preserve">[2,] -281.9520 1788.248</w:t>
      </w:r>
    </w:p>
    <w:p>
      <w:pPr>
        <w:pStyle w:val="FirstParagraph"/>
      </w:pPr>
      <w:r>
        <w:t xml:space="preserve">Assim como na distribuição exponencial, será feita uma comparação entre o real e estimado.</w:t>
      </w:r>
    </w:p>
    <w:p>
      <w:pPr>
        <w:pStyle w:val="SourceCode"/>
      </w:pPr>
      <w:r>
        <w:rPr>
          <w:rStyle w:val="CommentTok"/>
        </w:rPr>
        <w:t xml:space="preserve"># ---------------------</w:t>
      </w:r>
      <w:r>
        <w:br/>
      </w:r>
      <w:r>
        <w:rPr>
          <w:rStyle w:val="CommentTok"/>
        </w:rPr>
        <w:t xml:space="preserve"># AJUSTES DE FORMATAÇÃO</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dadosWeibull,</w:t>
      </w:r>
      <w:r>
        <w:br/>
      </w:r>
      <w:r>
        <w:rPr>
          <w:rStyle w:val="NormalTok"/>
        </w:rPr>
        <w:t xml:space="preserve">  </w:t>
      </w:r>
      <w:r>
        <w:rPr>
          <w:rStyle w:val="AttributeTok"/>
        </w:rPr>
        <w:t xml:space="preserve">St =</w:t>
      </w:r>
      <w:r>
        <w:rPr>
          <w:rStyle w:val="NormalTok"/>
        </w:rPr>
        <w:t xml:space="preserve"> </w:t>
      </w:r>
      <w:r>
        <w:rPr>
          <w:rStyle w:val="FunctionTok"/>
        </w:rPr>
        <w:t xml:space="preserve">StWeibull</w:t>
      </w:r>
      <w:r>
        <w:rPr>
          <w:rStyle w:val="NormalTok"/>
        </w:rPr>
        <w:t xml:space="preserve">(dadosWeibull, wShape, wScale),</w:t>
      </w:r>
      <w:r>
        <w:br/>
      </w:r>
      <w:r>
        <w:rPr>
          <w:rStyle w:val="NormalTok"/>
        </w:rPr>
        <w:t xml:space="preserve">  </w:t>
      </w:r>
      <w:r>
        <w:rPr>
          <w:rStyle w:val="AttributeTok"/>
        </w:rPr>
        <w:t xml:space="preserve">EMVSt =</w:t>
      </w:r>
      <w:r>
        <w:rPr>
          <w:rStyle w:val="NormalTok"/>
        </w:rPr>
        <w:t xml:space="preserve"> </w:t>
      </w:r>
      <w:r>
        <w:rPr>
          <w:rStyle w:val="FunctionTok"/>
        </w:rPr>
        <w:t xml:space="preserve">StWeibull</w:t>
      </w:r>
      <w:r>
        <w:rPr>
          <w:rStyle w:val="NormalTok"/>
        </w:rPr>
        <w:t xml:space="preserve">(dadosWeibull,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p>
    <w:p>
      <w:pPr>
        <w:pStyle w:val="FirstParagraph"/>
      </w:pPr>
      <w:r>
        <w:t xml:space="preserve">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(dfWeibull),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4"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1.6745421</w:t>
                  </w:r>
                </w:p>
              </w:tc>
              <w:tc>
                <w:tcPr/>
                <w:p>
                  <w:pPr>
                    <w:pStyle w:val="Compact"/>
                    <w:jc w:val="center"/>
                    <w:jc w:val="center"/>
                  </w:pPr>
                  <w:r>
                    <w:t xml:space="preserve">0.2875775</w:t>
                  </w:r>
                </w:p>
              </w:tc>
              <w:tc>
                <w:tcPr/>
                <w:p>
                  <w:pPr>
                    <w:pStyle w:val="Compact"/>
                    <w:jc w:val="center"/>
                    <w:jc w:val="center"/>
                  </w:pPr>
                  <w:r>
                    <w:t xml:space="preserve">0.2904304</w:t>
                  </w:r>
                </w:p>
              </w:tc>
            </w:tr>
            <w:tr>
              <w:tc>
                <w:tcPr/>
                <w:p>
                  <w:pPr>
                    <w:pStyle w:val="Compact"/>
                    <w:jc w:val="center"/>
                    <w:jc w:val="center"/>
                  </w:pPr>
                  <w:r>
                    <w:t xml:space="preserve">0.7315788</w:t>
                  </w:r>
                </w:p>
              </w:tc>
              <w:tc>
                <w:tcPr/>
                <w:p>
                  <w:pPr>
                    <w:pStyle w:val="Compact"/>
                    <w:jc w:val="center"/>
                    <w:jc w:val="center"/>
                  </w:pPr>
                  <w:r>
                    <w:t xml:space="preserve">0.7883051</w:t>
                  </w:r>
                </w:p>
              </w:tc>
              <w:tc>
                <w:tcPr/>
                <w:p>
                  <w:pPr>
                    <w:pStyle w:val="Compact"/>
                    <w:jc w:val="center"/>
                    <w:jc w:val="center"/>
                  </w:pPr>
                  <w:r>
                    <w:t xml:space="preserve">0.7921747</w:t>
                  </w:r>
                </w:p>
              </w:tc>
            </w:tr>
            <w:tr>
              <w:tc>
                <w:tcPr/>
                <w:p>
                  <w:pPr>
                    <w:pStyle w:val="Compact"/>
                    <w:jc w:val="center"/>
                    <w:jc w:val="center"/>
                  </w:pPr>
                  <w:r>
                    <w:t xml:space="preserve">1.4183502</w:t>
                  </w:r>
                </w:p>
              </w:tc>
              <w:tc>
                <w:tcPr/>
                <w:p>
                  <w:pPr>
                    <w:pStyle w:val="Compact"/>
                    <w:jc w:val="center"/>
                    <w:jc w:val="center"/>
                  </w:pPr>
                  <w:r>
                    <w:t xml:space="preserve">0.4089769</w:t>
                  </w:r>
                </w:p>
              </w:tc>
              <w:tc>
                <w:tcPr/>
                <w:p>
                  <w:pPr>
                    <w:pStyle w:val="Compact"/>
                    <w:jc w:val="center"/>
                    <w:jc w:val="center"/>
                  </w:pPr>
                  <w:r>
                    <w:t xml:space="preserve">0.4128247</w:t>
                  </w:r>
                </w:p>
              </w:tc>
            </w:tr>
            <w:tr>
              <w:tc>
                <w:tcPr/>
                <w:p>
                  <w:pPr>
                    <w:pStyle w:val="Compact"/>
                    <w:jc w:val="center"/>
                    <w:jc w:val="center"/>
                  </w:pPr>
                  <w:r>
                    <w:t xml:space="preserve">0.5290778</w:t>
                  </w:r>
                </w:p>
              </w:tc>
              <w:tc>
                <w:tcPr/>
                <w:p>
                  <w:pPr>
                    <w:pStyle w:val="Compact"/>
                    <w:jc w:val="center"/>
                    <w:jc w:val="center"/>
                  </w:pPr>
                  <w:r>
                    <w:t xml:space="preserve">0.8830174</w:t>
                  </w:r>
                </w:p>
              </w:tc>
              <w:tc>
                <w:tcPr/>
                <w:p>
                  <w:pPr>
                    <w:pStyle w:val="Compact"/>
                    <w:jc w:val="center"/>
                    <w:jc w:val="center"/>
                  </w:pPr>
                  <w:r>
                    <w:t xml:space="preserve">0.8858229</w:t>
                  </w:r>
                </w:p>
              </w:tc>
            </w:tr>
            <w:tr>
              <w:tc>
                <w:tcPr/>
                <w:p>
                  <w:pPr>
                    <w:pStyle w:val="Compact"/>
                    <w:jc w:val="center"/>
                    <w:jc w:val="center"/>
                  </w:pPr>
                  <w:r>
                    <w:t xml:space="preserve">0.3716200</w:t>
                  </w:r>
                </w:p>
              </w:tc>
              <w:tc>
                <w:tcPr/>
                <w:p>
                  <w:pPr>
                    <w:pStyle w:val="Compact"/>
                    <w:jc w:val="center"/>
                    <w:jc w:val="center"/>
                  </w:pPr>
                  <w:r>
                    <w:t xml:space="preserve">0.9404673</w:t>
                  </w:r>
                </w:p>
              </w:tc>
              <w:tc>
                <w:tcPr/>
                <w:p>
                  <w:pPr>
                    <w:pStyle w:val="Compact"/>
                    <w:jc w:val="center"/>
                    <w:jc w:val="center"/>
                  </w:pPr>
                  <w:r>
                    <w:t xml:space="preserve">0.9422483</w:t>
                  </w:r>
                </w:p>
              </w:tc>
            </w:tr>
            <w:tr>
              <w:tc>
                <w:tcPr/>
                <w:p>
                  <w:pPr>
                    <w:pStyle w:val="Compact"/>
                    <w:jc w:val="center"/>
                    <w:jc w:val="center"/>
                  </w:pPr>
                  <w:r>
                    <w:t xml:space="preserve">2.6362482</w:t>
                  </w:r>
                </w:p>
              </w:tc>
              <w:tc>
                <w:tcPr/>
                <w:p>
                  <w:pPr>
                    <w:pStyle w:val="Compact"/>
                    <w:jc w:val="center"/>
                    <w:jc w:val="center"/>
                  </w:pPr>
                  <w:r>
                    <w:t xml:space="preserve">0.0455565</w:t>
                  </w:r>
                </w:p>
              </w:tc>
              <w:tc>
                <w:tcPr/>
                <w:p>
                  <w:pPr>
                    <w:pStyle w:val="Compact"/>
                    <w:jc w:val="center"/>
                    <w:jc w:val="center"/>
                  </w:pPr>
                  <w:r>
                    <w:t xml:space="preserve">0.0456849</w:t>
                  </w:r>
                </w:p>
              </w:tc>
            </w:tr>
          </w:tbl>
          <w:bookmarkEnd w:id="124"/>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3.11</w:t>
        </w:r>
      </w:hyperlink>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"Verdadeiro"</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"Verdadeiro: "</w:t>
      </w:r>
      <w:r>
        <w:rPr>
          <w:rStyle w:val="NormalTok"/>
        </w:rPr>
        <w:t xml:space="preserve">, gamma, </w:t>
      </w:r>
      <w:r>
        <w:rPr>
          <w:rStyle w:val="StringTok"/>
        </w:rPr>
        <w:t xml:space="preserve">", "</w:t>
      </w:r>
      <w:r>
        <w:rPr>
          <w:rStyle w:val="NormalTok"/>
        </w:rPr>
        <w:t xml:space="preserve">, alpha)),</w:t>
      </w:r>
      <w:r>
        <w:br/>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"EMV: "</w:t>
      </w:r>
      <w:r>
        <w:rPr>
          <w:rStyle w:val="NormalTok"/>
        </w:rPr>
        <w:t xml:space="preserve">, </w:t>
      </w:r>
      <w:r>
        <w:rPr>
          <w:rStyle w:val="FunctionTok"/>
        </w:rPr>
        <w:t xml:space="preserve">hat</w:t>
      </w:r>
      <w:r>
        <w:rPr>
          <w:rStyle w:val="NormalTok"/>
        </w:rPr>
        <w:t xml:space="preserve">(gamma), </w:t>
      </w:r>
      <w:r>
        <w:rPr>
          <w:rStyle w:val="StringTok"/>
        </w:rPr>
        <w:t xml:space="preserve">", "</w:t>
      </w:r>
      <w:r>
        <w:rPr>
          <w:rStyle w:val="NormalTok"/>
        </w:rPr>
        <w:t xml:space="preserve">, </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8" w:name="fig-CompEMVWeibull"/>
          <w:p>
            <w:pPr>
              <w:jc w:val="center"/>
            </w:pPr>
            <w:pPr>
              <w:jc w:val="start"/>
              <w:spacing w:before="200"/>
              <w:pStyle w:val="ImageCaption"/>
            </w:pPr>
            <w:r>
              <w:t xml:space="preserve">Figura 3.11: Comparação do verdadeiro valor dos parâmetros γ e α com suas estimativas de máxima verossimilhança.</w:t>
            </w:r>
          </w:p>
          <w:p>
            <w:pPr>
              <w:pStyle w:val="Compact"/>
              <w:jc w:val="center"/>
            </w:pPr>
            <w:r>
              <w:drawing>
                <wp:inline>
                  <wp:extent cx="4620126" cy="3696101"/>
                  <wp:effectExtent b="0" l="0" r="0" t="0"/>
                  <wp:docPr descr="" title="" id="126" name="Picture"/>
                  <a:graphic>
                    <a:graphicData uri="http://schemas.openxmlformats.org/drawingml/2006/picture">
                      <pic:pic>
                        <pic:nvPicPr>
                          <pic:cNvPr descr="CIII_ModelProb_files/figure-docx/fig-CompEMVWeibull-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8"/>
        </w:tc>
      </w:tr>
    </w:tbl>
    <w:bookmarkEnd w:id="129"/>
    <w:bookmarkStart w:id="130" w:name="distribuição-log-normal"/>
    <w:p>
      <w:pPr>
        <w:pStyle w:val="Heading5"/>
      </w:pPr>
      <w:r>
        <w:t xml:space="preserve">3.3.1.1.3 Distribuição Log-Normal</w:t>
      </w:r>
    </w:p>
    <w:bookmarkEnd w:id="130"/>
    <w:bookmarkEnd w:id="131"/>
    <w:bookmarkStart w:id="147" w:name="aplicações-com-censura"/>
    <w:p>
      <w:pPr>
        <w:pStyle w:val="Heading4"/>
      </w:pPr>
      <w:r>
        <w:t xml:space="preserve">3.3.1.2 Aplicações com Censura</w:t>
      </w:r>
    </w:p>
    <w:p>
      <w:pPr>
        <w:pStyle w:val="FirstParagraph"/>
      </w:pPr>
      <w:r>
        <w:t xml:space="preserve">Podemos utilizar os conhecimentos até aqui obtidos para modelar e estimar parâmetros, e consequentemente, curvas de sobrevivência onde exista censura. Vejamos os blocos de códigos a seguir.</w:t>
      </w:r>
    </w:p>
    <w:p>
      <w:pPr>
        <w:pStyle w:val="Compact"/>
        <w:numPr>
          <w:ilvl w:val="0"/>
          <w:numId w:val="1011"/>
        </w:numPr>
      </w:pPr>
      <w:r>
        <w:t xml:space="preserve">Ativamos os pacotes necessários: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p>
    <w:p>
      <w:pPr>
        <w:pStyle w:val="Compact"/>
        <w:numPr>
          <w:ilvl w:val="0"/>
          <w:numId w:val="1012"/>
        </w:numPr>
      </w:pPr>
      <w:r>
        <w:t xml:space="preserve">Simulamos os dados com censura:</w:t>
      </w:r>
    </w:p>
    <w:p>
      <w:pPr>
        <w:pStyle w:val="SourceCode"/>
      </w:pPr>
      <w:r>
        <w:rPr>
          <w:rStyle w:val="CommentTok"/>
        </w:rPr>
        <w:t xml:space="preserve"># -----------------------</w:t>
      </w:r>
      <w:r>
        <w:br/>
      </w:r>
      <w:r>
        <w:rPr>
          <w:rStyle w:val="CommentTok"/>
        </w:rPr>
        <w:t xml:space="preserve"># [2] Simulação dos Dados</w:t>
      </w:r>
      <w:r>
        <w:br/>
      </w:r>
      <w:r>
        <w:rPr>
          <w:rStyle w:val="CommentTok"/>
        </w:rPr>
        <w:t xml:space="preserve"># -----------------------</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Parâmetros</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shape da Weibull</w:t>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scale da Weibull</w:t>
      </w:r>
      <w:r>
        <w:br/>
      </w:r>
      <w:r>
        <w:rPr>
          <w:rStyle w:val="NormalTok"/>
        </w:rPr>
        <w:t xml:space="preserve">TaxaExp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Taxa da distribuição exponencial</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Proporção desejada de censuras</w:t>
      </w:r>
      <w:r>
        <w:br/>
      </w:r>
      <w:r>
        <w:br/>
      </w:r>
      <w:r>
        <w:rPr>
          <w:rStyle w:val="CommentTok"/>
        </w:rPr>
        <w:t xml:space="preserve"># Vetores para armazenar os resultados</w:t>
      </w:r>
      <w:r>
        <w:br/>
      </w:r>
      <w:r>
        <w:rPr>
          <w:rStyle w:val="NormalTok"/>
        </w:rPr>
        <w:t xml:space="preserve">Tobservado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indCensura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Contadores</w:t>
      </w:r>
      <w:r>
        <w:br/>
      </w:r>
      <w:r>
        <w:rPr>
          <w:rStyle w:val="NormalTok"/>
        </w:rPr>
        <w:t xml:space="preserve">nFalhas </w:t>
      </w:r>
      <w:r>
        <w:rPr>
          <w:rStyle w:val="OtherTok"/>
        </w:rPr>
        <w:t xml:space="preserve">&lt;-</w:t>
      </w:r>
      <w:r>
        <w:rPr>
          <w:rStyle w:val="NormalTok"/>
        </w:rPr>
        <w:t xml:space="preserve"> </w:t>
      </w:r>
      <w:r>
        <w:rPr>
          <w:rStyle w:val="DecValTok"/>
        </w:rPr>
        <w:t xml:space="preserve">0</w:t>
      </w:r>
      <w:r>
        <w:br/>
      </w:r>
      <w:r>
        <w:rPr>
          <w:rStyle w:val="NormalTok"/>
        </w:rPr>
        <w:t xml:space="preserve">nCensuras </w:t>
      </w:r>
      <w:r>
        <w:rPr>
          <w:rStyle w:val="OtherTok"/>
        </w:rPr>
        <w:t xml:space="preserve">&lt;-</w:t>
      </w:r>
      <w:r>
        <w:rPr>
          <w:rStyle w:val="NormalTok"/>
        </w:rPr>
        <w:t xml:space="preserve"> </w:t>
      </w:r>
      <w:r>
        <w:rPr>
          <w:rStyle w:val="DecValTok"/>
        </w:rPr>
        <w:t xml:space="preserve">0</w:t>
      </w:r>
      <w:r>
        <w:br/>
      </w:r>
      <w:r>
        <w:br/>
      </w:r>
      <w:r>
        <w:rPr>
          <w:rStyle w:val="CommentTok"/>
        </w:rPr>
        <w:t xml:space="preserve"># Loop para gerar os tempos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Gerar um tempo de falha e um tempo de censura</w:t>
      </w:r>
      <w:r>
        <w:br/>
      </w:r>
      <w:r>
        <w:rPr>
          <w:rStyle w:val="NormalTok"/>
        </w:rPr>
        <w:t xml:space="preserve">  Tfalha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 gamma, </w:t>
      </w:r>
      <w:r>
        <w:rPr>
          <w:rStyle w:val="AttributeTok"/>
        </w:rPr>
        <w:t xml:space="preserve">scale =</w:t>
      </w:r>
      <w:r>
        <w:rPr>
          <w:rStyle w:val="NormalTok"/>
        </w:rPr>
        <w:t xml:space="preserve"> alpha)</w:t>
      </w:r>
      <w:r>
        <w:br/>
      </w:r>
      <w:r>
        <w:rPr>
          <w:rStyle w:val="NormalTok"/>
        </w:rPr>
        <w:t xml:space="preserve">  Tcensu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TaxaExp)</w:t>
      </w:r>
      <w:r>
        <w:br/>
      </w:r>
      <w:r>
        <w:rPr>
          <w:rStyle w:val="NormalTok"/>
        </w:rPr>
        <w:t xml:space="preserve">  </w:t>
      </w:r>
      <w:r>
        <w:br/>
      </w:r>
      <w:r>
        <w:rPr>
          <w:rStyle w:val="NormalTok"/>
        </w:rPr>
        <w:t xml:space="preserve">  </w:t>
      </w:r>
      <w:r>
        <w:rPr>
          <w:rStyle w:val="CommentTok"/>
        </w:rPr>
        <w:t xml:space="preserve"># Verificar qual é o menor tempo</w:t>
      </w:r>
      <w:r>
        <w:br/>
      </w:r>
      <w:r>
        <w:rPr>
          <w:rStyle w:val="NormalTok"/>
        </w:rPr>
        <w:t xml:space="preserve">  </w:t>
      </w:r>
      <w:r>
        <w:rPr>
          <w:rStyle w:val="ControlFlowTok"/>
        </w:rPr>
        <w:t xml:space="preserve">if</w:t>
      </w:r>
      <w:r>
        <w:rPr>
          <w:rStyle w:val="NormalTok"/>
        </w:rPr>
        <w:t xml:space="preserve"> (Tfalha </w:t>
      </w:r>
      <w:r>
        <w:rPr>
          <w:rStyle w:val="SpecialCharTok"/>
        </w:rPr>
        <w:t xml:space="preserve">&lt;=</w:t>
      </w:r>
      <w:r>
        <w:rPr>
          <w:rStyle w:val="NormalTok"/>
        </w:rPr>
        <w:t xml:space="preserve"> Tcensu)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(nCensuras </w:t>
      </w:r>
      <w:r>
        <w:rPr>
          <w:rStyle w:val="SpecialCharTok"/>
        </w:rPr>
        <w:t xml:space="preserve">&lt;</w:t>
      </w:r>
      <w:r>
        <w:rPr>
          <w:rStyle w:val="NormalTok"/>
        </w:rPr>
        <w:t xml:space="preserve"> propCens </w:t>
      </w:r>
      <w:r>
        <w:rPr>
          <w:rStyle w:val="SpecialCharTok"/>
        </w:rPr>
        <w:t xml:space="preserve">*</w:t>
      </w:r>
      <w:r>
        <w:rPr>
          <w:rStyle w:val="NormalTok"/>
        </w:rPr>
        <w:t xml:space="preserve"> n) {</w:t>
      </w:r>
      <w:r>
        <w:br/>
      </w:r>
      <w:r>
        <w:rPr>
          <w:rStyle w:val="NormalTok"/>
        </w:rPr>
        <w:t xml:space="preserve">      Tobservado[i] </w:t>
      </w:r>
      <w:r>
        <w:rPr>
          <w:rStyle w:val="OtherTok"/>
        </w:rPr>
        <w:t xml:space="preserve">&lt;-</w:t>
      </w:r>
      <w:r>
        <w:rPr>
          <w:rStyle w:val="NormalTok"/>
        </w:rPr>
        <w:t xml:space="preserve"> Tcensu</w:t>
      </w:r>
      <w:r>
        <w:br/>
      </w:r>
      <w:r>
        <w:rPr>
          <w:rStyle w:val="NormalTok"/>
        </w:rPr>
        <w:t xml:space="preserve">      indCensura[i]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Censura</w:t>
      </w:r>
      <w:r>
        <w:br/>
      </w:r>
      <w:r>
        <w:rPr>
          <w:rStyle w:val="NormalTok"/>
        </w:rPr>
        <w:t xml:space="preserve">      nCensuras </w:t>
      </w:r>
      <w:r>
        <w:rPr>
          <w:rStyle w:val="OtherTok"/>
        </w:rPr>
        <w:t xml:space="preserve">&lt;-</w:t>
      </w:r>
      <w:r>
        <w:rPr>
          <w:rStyle w:val="NormalTok"/>
        </w:rPr>
        <w:t xml:space="preserve"> nCensuras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Verificar as proporções</w:t>
      </w:r>
      <w:r>
        <w:br/>
      </w:r>
      <w:r>
        <w:rPr>
          <w:rStyle w:val="FunctionTok"/>
        </w:rPr>
        <w:t xml:space="preserve">cat</w:t>
      </w:r>
      <w:r>
        <w:rPr>
          <w:rStyle w:val="NormalTok"/>
        </w:rPr>
        <w:t xml:space="preserve">(</w:t>
      </w:r>
      <w:r>
        <w:rPr>
          <w:rStyle w:val="StringTok"/>
        </w:rPr>
        <w:t xml:space="preserve">"Proporção de falhas:"</w:t>
      </w:r>
      <w:r>
        <w:rPr>
          <w:rStyle w:val="NormalTok"/>
        </w:rPr>
        <w:t xml:space="preserve">, nFalhas </w:t>
      </w:r>
      <w:r>
        <w:rPr>
          <w:rStyle w:val="SpecialCharTok"/>
        </w:rPr>
        <w:t xml:space="preserve">/</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Proporção de falhas: 0.666 </w:t>
      </w:r>
    </w:p>
    <w:p>
      <w:pPr>
        <w:pStyle w:val="SourceCode"/>
      </w:pPr>
      <w:r>
        <w:rPr>
          <w:rStyle w:val="FunctionTok"/>
        </w:rPr>
        <w:t xml:space="preserve">cat</w:t>
      </w:r>
      <w:r>
        <w:rPr>
          <w:rStyle w:val="NormalTok"/>
        </w:rPr>
        <w:t xml:space="preserve">(</w:t>
      </w:r>
      <w:r>
        <w:rPr>
          <w:rStyle w:val="StringTok"/>
        </w:rPr>
        <w:t xml:space="preserve">"Proporção de censuras:"</w:t>
      </w:r>
      <w:r>
        <w:rPr>
          <w:rStyle w:val="NormalTok"/>
        </w:rPr>
        <w:t xml:space="preserve">, nCensuras </w:t>
      </w:r>
      <w:r>
        <w:rPr>
          <w:rStyle w:val="SpecialCharTok"/>
        </w:rPr>
        <w:t xml:space="preserve">/</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Proporção de censuras: 0.334 </w:t>
      </w:r>
    </w:p>
    <w:p>
      <w:pPr>
        <w:pStyle w:val="SourceCode"/>
      </w:pP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Tempo =</w:t>
      </w:r>
      <w:r>
        <w:rPr>
          <w:rStyle w:val="NormalTok"/>
        </w:rPr>
        <w:t xml:space="preserve"> Tobservado, </w:t>
      </w:r>
      <w:r>
        <w:rPr>
          <w:rStyle w:val="AttributeTok"/>
        </w:rPr>
        <w:t xml:space="preserve">Censura =</w:t>
      </w:r>
      <w:r>
        <w:rPr>
          <w:rStyle w:val="NormalTok"/>
        </w:rPr>
        <w:t xml:space="preserve"> indCensura)</w:t>
      </w:r>
      <w:r>
        <w:br/>
      </w:r>
      <w:r>
        <w:br/>
      </w: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do Tempo de Sobrevivência - Simulação"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CIII_ModelProb_files/figure-docx/unnamed-chunk-23-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3"/>
        </w:numPr>
      </w:pPr>
      <w:r>
        <w:t xml:space="preserve">Estimação Não Paramétrica.</w:t>
      </w:r>
    </w:p>
    <w:p>
      <w:pPr>
        <w:pStyle w:val="SourceCode"/>
      </w:pPr>
      <w:r>
        <w:rPr>
          <w:rStyle w:val="CommentTok"/>
        </w:rPr>
        <w:t xml:space="preserve"># -------------</w:t>
      </w:r>
      <w:r>
        <w:br/>
      </w:r>
      <w:r>
        <w:rPr>
          <w:rStyle w:val="CommentTok"/>
        </w:rPr>
        <w:t xml:space="preserve"># [3] Estimação</w:t>
      </w:r>
      <w:r>
        <w:br/>
      </w:r>
      <w:r>
        <w:rPr>
          <w:rStyle w:val="CommentTok"/>
        </w:rPr>
        <w:t xml:space="preserve"># -------------</w:t>
      </w:r>
      <w:r>
        <w:br/>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 Censura)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DataEKM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DataEKM,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Kaplan-Meier"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CIII_ModelProb_files/figure-docx/unnamed-chunk-24-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4"/>
        </w:numPr>
      </w:pPr>
      <w:r>
        <w:t xml:space="preserve">Estimação Não Paramétrica - Distribuição Exponencial.</w:t>
      </w:r>
    </w:p>
    <w:p>
      <w:pPr>
        <w:pStyle w:val="SourceCode"/>
      </w:pP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Censura)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Tempo)</w:t>
      </w:r>
      <w:r>
        <w:br/>
      </w:r>
      <w:r>
        <w:br/>
      </w:r>
      <w:r>
        <w:rPr>
          <w:rStyle w:val="CommentTok"/>
        </w:rPr>
        <w:t xml:space="preserve"># EMV da Sobrevivência</w:t>
      </w:r>
      <w:r>
        <w:br/>
      </w:r>
      <w:r>
        <w:rPr>
          <w:rStyle w:val="NormalTok"/>
        </w:rPr>
        <w:t xml:space="preserve">EMVSurvExp </w:t>
      </w:r>
      <w:r>
        <w:rPr>
          <w:rStyle w:val="OtherTok"/>
        </w:rPr>
        <w:t xml:space="preserve">&lt;-</w:t>
      </w:r>
      <w:r>
        <w:rPr>
          <w:rStyle w:val="NormalTok"/>
        </w:rPr>
        <w:t xml:space="preserve"> </w:t>
      </w:r>
      <w:r>
        <w:rPr>
          <w:rStyle w:val="FunctionTok"/>
        </w:rPr>
        <w:t xml:space="preserve">Stexp</w:t>
      </w:r>
      <w:r>
        <w:rPr>
          <w:rStyle w:val="NormalTok"/>
        </w:rPr>
        <w:t xml:space="preserve">(dados</w:t>
      </w:r>
      <w:r>
        <w:rPr>
          <w:rStyle w:val="SpecialCharTok"/>
        </w:rPr>
        <w:t xml:space="preserve">$</w:t>
      </w:r>
      <w:r>
        <w:rPr>
          <w:rStyle w:val="NormalTok"/>
        </w:rPr>
        <w:t xml:space="preserve">Tempo, emvExp)</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EMVSurvExp, </w:t>
      </w:r>
      <w:r>
        <w:rPr>
          <w:rStyle w:val="AttributeTok"/>
        </w:rPr>
        <w:t xml:space="preserve">Type =</w:t>
      </w:r>
      <w:r>
        <w:rPr>
          <w:rStyle w:val="NormalTok"/>
        </w:rPr>
        <w:t xml:space="preserve"> </w:t>
      </w:r>
      <w:r>
        <w:rPr>
          <w:rStyle w:val="StringTok"/>
        </w:rPr>
        <w:t xml:space="preserve">"Exponencial"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DataExp,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CIII_ModelProb_files/figure-docx/unnamed-chunk-25-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5"/>
        </w:numPr>
      </w:pPr>
    </w:p>
    <w:p>
      <w:pPr>
        <w:pStyle w:val="Compact"/>
        <w:numPr>
          <w:ilvl w:val="1"/>
          <w:numId w:val="1016"/>
        </w:numPr>
      </w:pPr>
      <w:r>
        <w:t xml:space="preserve">Estimação Não Paramétrica - Distribuição Weibull.</w:t>
      </w:r>
    </w:p>
    <w:p>
      <w:pPr>
        <w:numPr>
          <w:ilvl w:val="0"/>
          <w:numId w:val="1000"/>
        </w:numPr>
      </w:pPr>
      <w:r>
        <w:t xml:space="preserve">::: {.cell}</w:t>
      </w:r>
    </w:p>
    <w:p>
      <w:pPr>
        <w:pStyle w:val="SourceCode"/>
        <w:numPr>
          <w:ilvl w:val="0"/>
          <w:numId w:val="1000"/>
        </w:numPr>
      </w:pP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EMV de γ e α</w:t>
      </w:r>
      <w:r>
        <w:br/>
      </w:r>
      <w:r>
        <w:rPr>
          <w:rStyle w:val="CommentTok"/>
        </w:rPr>
        <w:t xml:space="preserve"># 1.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Tempo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Censura </w:t>
      </w:r>
      <w:r>
        <w:rPr>
          <w:rStyle w:val="CommentTok"/>
        </w:rPr>
        <w:t xml:space="preserve"># Variável indicadora</w:t>
      </w:r>
      <w:r>
        <w:br/>
      </w:r>
      <w:r>
        <w:br/>
      </w:r>
      <w:r>
        <w:rPr>
          <w:rStyle w:val="NormalTok"/>
        </w:rPr>
        <w:t xml:space="preserve">  logv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br/>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logv)</w:t>
      </w:r>
      <w:r>
        <w:br/>
      </w:r>
      <w:r>
        <w:rPr>
          <w:rStyle w:val="NormalTok"/>
        </w:rPr>
        <w:t xml:space="preserve">}</w:t>
      </w:r>
      <w:r>
        <w:br/>
      </w:r>
      <w:r>
        <w:br/>
      </w:r>
      <w:r>
        <w:rPr>
          <w:rStyle w:val="CommentTok"/>
        </w:rPr>
        <w:t xml:space="preserve"># 2. Otimizando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p>
    <w:p>
      <w:pPr>
        <w:numPr>
          <w:ilvl w:val="0"/>
          <w:numId w:val="1000"/>
        </w:numPr>
      </w:pPr>
      <w:r>
        <w:t xml:space="preserve">::: {.cell-output .cell-output-stderr}</w:t>
      </w:r>
    </w:p>
    <w:p>
      <w:pPr>
        <w:pStyle w:val="SourceCode"/>
        <w:numPr>
          <w:ilvl w:val="0"/>
          <w:numId w:val="1000"/>
        </w:numPr>
      </w:pPr>
      <w:r>
        <w:rPr>
          <w:rStyle w:val="VerbatimChar"/>
        </w:rPr>
        <w:t xml:space="preserve">Warning in log(gamma): NaNs produzidos</w:t>
      </w:r>
      <w:r>
        <w:br/>
      </w:r>
      <w:r>
        <w:rPr>
          <w:rStyle w:val="VerbatimChar"/>
        </w:rPr>
        <w:t xml:space="preserve">Warning in log(gamma): NaNs produzidos</w:t>
      </w:r>
      <w:r>
        <w:br/>
      </w:r>
      <w:r>
        <w:rPr>
          <w:rStyle w:val="VerbatimChar"/>
        </w:rPr>
        <w:t xml:space="preserve">Warning in log(gamma): NaNs produzidos</w:t>
      </w:r>
    </w:p>
    <w:p>
      <w:pPr>
        <w:numPr>
          <w:ilvl w:val="0"/>
          <w:numId w:val="1000"/>
        </w:numPr>
      </w:pPr>
      <w:r>
        <w:t xml:space="preserve">:::</w:t>
      </w:r>
    </w:p>
    <w:p>
      <w:pPr>
        <w:numPr>
          <w:ilvl w:val="0"/>
          <w:numId w:val="1000"/>
        </w:numPr>
      </w:pPr>
      <w:r>
        <w:t xml:space="preserve">::: {.cell-output .cell-output-stderr}</w:t>
      </w:r>
    </w:p>
    <w:p>
      <w:pPr>
        <w:pStyle w:val="SourceCode"/>
        <w:numPr>
          <w:ilvl w:val="0"/>
          <w:numId w:val="1000"/>
        </w:numPr>
      </w:pP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p>
    <w:p>
      <w:pPr>
        <w:numPr>
          <w:ilvl w:val="0"/>
          <w:numId w:val="1000"/>
        </w:numPr>
      </w:pPr>
      <w:r>
        <w:t xml:space="preserve">:::</w:t>
      </w:r>
    </w:p>
    <w:p>
      <w:pPr>
        <w:pStyle w:val="SourceCode"/>
        <w:numPr>
          <w:ilvl w:val="0"/>
          <w:numId w:val="1000"/>
        </w:numPr>
      </w:pPr>
      <w:r>
        <w:rPr>
          <w:rStyle w:val="NormalTok"/>
        </w:rPr>
        <w:t xml:space="preserve">estimate</w:t>
      </w:r>
    </w:p>
    <w:p>
      <w:pPr>
        <w:numPr>
          <w:ilvl w:val="0"/>
          <w:numId w:val="1000"/>
        </w:numPr>
      </w:pPr>
      <w:r>
        <w:t xml:space="preserve">::: {.cell-output .cell-output-stdout}</w:t>
      </w:r>
    </w:p>
    <w:p>
      <w:pPr>
        <w:pStyle w:val="SourceCode"/>
        <w:numPr>
          <w:ilvl w:val="0"/>
          <w:numId w:val="1000"/>
        </w:numPr>
      </w:pPr>
      <w:r>
        <w:rPr>
          <w:rStyle w:val="VerbatimChar"/>
        </w:rPr>
        <w:t xml:space="preserve">$par</w:t>
      </w:r>
      <w:r>
        <w:br/>
      </w:r>
      <w:r>
        <w:rPr>
          <w:rStyle w:val="VerbatimChar"/>
        </w:rPr>
        <w:t xml:space="preserve">[1] 2.013314 1.535915</w:t>
      </w:r>
      <w:r>
        <w:br/>
      </w:r>
      <w:r>
        <w:br/>
      </w:r>
      <w:r>
        <w:rPr>
          <w:rStyle w:val="VerbatimChar"/>
        </w:rPr>
        <w:t xml:space="preserve">$value</w:t>
      </w:r>
      <w:r>
        <w:br/>
      </w:r>
      <w:r>
        <w:rPr>
          <w:rStyle w:val="VerbatimChar"/>
        </w:rPr>
        <w:t xml:space="preserve">[1] 745.9756</w:t>
      </w:r>
      <w:r>
        <w:br/>
      </w:r>
      <w:r>
        <w:br/>
      </w:r>
      <w:r>
        <w:rPr>
          <w:rStyle w:val="VerbatimChar"/>
        </w:rPr>
        <w:t xml:space="preserve">$counts</w:t>
      </w:r>
      <w:r>
        <w:br/>
      </w:r>
      <w:r>
        <w:rPr>
          <w:rStyle w:val="VerbatimChar"/>
        </w:rPr>
        <w:t xml:space="preserve">function gradient </w:t>
      </w:r>
      <w:r>
        <w:br/>
      </w:r>
      <w:r>
        <w:rPr>
          <w:rStyle w:val="VerbatimChar"/>
        </w:rPr>
        <w:t xml:space="preserve">      31        9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304.76432  -96.91392</w:t>
      </w:r>
      <w:r>
        <w:br/>
      </w:r>
      <w:r>
        <w:rPr>
          <w:rStyle w:val="VerbatimChar"/>
        </w:rPr>
        <w:t xml:space="preserve">[2,] -96.91392 1144.24624</w:t>
      </w:r>
    </w:p>
    <w:p>
      <w:pPr>
        <w:numPr>
          <w:ilvl w:val="0"/>
          <w:numId w:val="1000"/>
        </w:numPr>
      </w:pPr>
      <w:r>
        <w:t xml:space="preserve">:::</w:t>
      </w:r>
    </w:p>
    <w:p>
      <w:pPr>
        <w:pStyle w:val="SourceCode"/>
        <w:numPr>
          <w:ilvl w:val="0"/>
          <w:numId w:val="1000"/>
        </w:numPr>
      </w:pPr>
      <w:r>
        <w:rPr>
          <w:rStyle w:val="CommentTok"/>
        </w:rPr>
        <w:t xml:space="preserve"># EMV da Sobrevivência</w:t>
      </w:r>
      <w:r>
        <w:br/>
      </w:r>
      <w:r>
        <w:rPr>
          <w:rStyle w:val="NormalTok"/>
        </w:rPr>
        <w:t xml:space="preserve">EMVSurvWeib </w:t>
      </w:r>
      <w:r>
        <w:rPr>
          <w:rStyle w:val="OtherTok"/>
        </w:rPr>
        <w:t xml:space="preserve">&lt;-</w:t>
      </w:r>
      <w:r>
        <w:rPr>
          <w:rStyle w:val="NormalTok"/>
        </w:rPr>
        <w:t xml:space="preserve"> </w:t>
      </w:r>
      <w:r>
        <w:rPr>
          <w:rStyle w:val="FunctionTok"/>
        </w:rPr>
        <w:t xml:space="preserve">StWeibull</w:t>
      </w:r>
      <w:r>
        <w:rPr>
          <w:rStyle w:val="NormalTok"/>
        </w:rPr>
        <w:t xml:space="preserve">(dados</w:t>
      </w:r>
      <w:r>
        <w:rPr>
          <w:rStyle w:val="SpecialCharTok"/>
        </w:rPr>
        <w:t xml:space="preserve">$</w:t>
      </w:r>
      <w:r>
        <w:rPr>
          <w:rStyle w:val="NormalTok"/>
        </w:rPr>
        <w:t xml:space="preserve">Tempo,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EMVSurvWeib, </w:t>
      </w:r>
      <w:r>
        <w:rPr>
          <w:rStyle w:val="AttributeTok"/>
        </w:rPr>
        <w:t xml:space="preserve">Type =</w:t>
      </w:r>
      <w:r>
        <w:rPr>
          <w:rStyle w:val="NormalTok"/>
        </w:rPr>
        <w:t xml:space="preserve"> </w:t>
      </w:r>
      <w:r>
        <w:rPr>
          <w:rStyle w:val="StringTok"/>
        </w:rPr>
        <w:t xml:space="preserve">"Weibull"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DataWeib,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Weibull"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numPr>
          <w:ilvl w:val="0"/>
          <w:numId w:val="1000"/>
        </w:numPr>
      </w:pPr>
      <w:r>
        <w:t xml:space="preserve">::: {.cell-output-display}</w:t>
      </w:r>
      <w:r>
        <w:t xml:space="preserve"> </w:t>
      </w:r>
      <w:r>
        <w:drawing>
          <wp:inline>
            <wp:extent cx="4620126" cy="3696101"/>
            <wp:effectExtent b="0" l="0" r="0" t="0"/>
            <wp:docPr descr="" title="" id="142" name="Picture"/>
            <a:graphic>
              <a:graphicData uri="http://schemas.openxmlformats.org/drawingml/2006/picture">
                <pic:pic>
                  <pic:nvPicPr>
                    <pic:cNvPr descr="CIII_ModelProb_files/figure-docx/unnamed-chunk-26-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w:t>
      </w:r>
    </w:p>
    <w:p>
      <w:pPr>
        <w:pStyle w:val="FirstParagraph"/>
      </w:pPr>
      <w:r>
        <w:t xml:space="preserve">Por fim, com o objetivo de fazer uma comparação, visual, temos a Figura abaixo.</w:t>
      </w:r>
    </w:p>
    <w:p>
      <w:pPr>
        <w:pStyle w:val="SourceCode"/>
      </w:pP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(DataEKM,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 </w:t>
      </w:r>
      <w:r>
        <w:rPr>
          <w:rStyle w:val="AttributeTok"/>
        </w:rPr>
        <w:t xml:space="preserve">linetype =</w:t>
      </w:r>
      <w:r>
        <w:rPr>
          <w:rStyle w:val="NormalTok"/>
        </w:rPr>
        <w:t xml:space="preserve"> Type),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Kaplan-Meier, Weibull e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c("solid", "dashed", "dotted")</w:t>
      </w:r>
    </w:p>
    <w:p>
      <w:pPr>
        <w:pStyle w:val="FirstParagraph"/>
      </w:pPr>
      <w:r>
        <w:drawing>
          <wp:inline>
            <wp:extent cx="4620126" cy="3696101"/>
            <wp:effectExtent b="0" l="0" r="0" t="0"/>
            <wp:docPr descr="" title="" id="145" name="Picture"/>
            <a:graphic>
              <a:graphicData uri="http://schemas.openxmlformats.org/drawingml/2006/picture">
                <pic:pic>
                  <pic:nvPicPr>
                    <pic:cNvPr descr="CIII_ModelProb_files/figure-docx/unnamed-chunk-27-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bookmarkEnd w:id="147"/>
    <w:bookmarkEnd w:id="148"/>
    <w:bookmarkEnd w:id="149"/>
    <w:bookmarkEnd w:id="150"/>
    <w:bookmarkStart w:id="184" w:name="referêcias"/>
    <w:p>
      <w:pPr>
        <w:pStyle w:val="Heading1"/>
      </w:pPr>
      <w:r>
        <w:t xml:space="preserve">Referêcias</w:t>
      </w:r>
    </w:p>
    <w:bookmarkStart w:id="183" w:name="refs"/>
    <w:bookmarkStart w:id="152"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151">
        <w:r>
          <w:rPr>
            <w:rStyle w:val="Hyperlink"/>
          </w:rPr>
          <w:t xml:space="preserve">https://doi.org/10.1214/aos/1176344247</w:t>
        </w:r>
      </w:hyperlink>
      <w:r>
        <w:t xml:space="preserve">.</w:t>
      </w:r>
    </w:p>
    <w:bookmarkEnd w:id="152"/>
    <w:bookmarkStart w:id="153"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153"/>
    <w:bookmarkStart w:id="155"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154">
        <w:r>
          <w:rPr>
            <w:rStyle w:val="Hyperlink"/>
          </w:rPr>
          <w:t xml:space="preserve">https://doi.org/10.1109/24.293488</w:t>
        </w:r>
      </w:hyperlink>
      <w:r>
        <w:t xml:space="preserve">.</w:t>
      </w:r>
    </w:p>
    <w:bookmarkEnd w:id="155"/>
    <w:bookmarkStart w:id="157"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156">
        <w:r>
          <w:rPr>
            <w:rStyle w:val="Hyperlink"/>
          </w:rPr>
          <w:t xml:space="preserve">https://doi.org/10.1214/aos/1176342705</w:t>
        </w:r>
      </w:hyperlink>
      <w:r>
        <w:t xml:space="preserve">.</w:t>
      </w:r>
    </w:p>
    <w:bookmarkEnd w:id="157"/>
    <w:bookmarkStart w:id="158"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158"/>
    <w:bookmarkStart w:id="160"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159">
        <w:r>
          <w:rPr>
            <w:rStyle w:val="Hyperlink"/>
          </w:rPr>
          <w:t xml:space="preserve">https://doi.org/10.2307/2333825</w:t>
        </w:r>
      </w:hyperlink>
      <w:r>
        <w:t xml:space="preserve">.</w:t>
      </w:r>
    </w:p>
    <w:bookmarkEnd w:id="160"/>
    <w:bookmarkStart w:id="161"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161"/>
    <w:bookmarkStart w:id="163"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162">
        <w:r>
          <w:rPr>
            <w:rStyle w:val="Hyperlink"/>
          </w:rPr>
          <w:t xml:space="preserve">https://doi.org/10.1080/01621459.1958.10501452</w:t>
        </w:r>
      </w:hyperlink>
      <w:r>
        <w:t xml:space="preserve">.</w:t>
      </w:r>
    </w:p>
    <w:bookmarkEnd w:id="163"/>
    <w:bookmarkStart w:id="165"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164">
        <w:r>
          <w:rPr>
            <w:rStyle w:val="Hyperlink"/>
          </w:rPr>
          <w:t xml:space="preserve">https://doi.org/10.2307/4616203</w:t>
        </w:r>
      </w:hyperlink>
      <w:r>
        <w:t xml:space="preserve">.</w:t>
      </w:r>
    </w:p>
    <w:bookmarkEnd w:id="165"/>
    <w:bookmarkStart w:id="167"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166">
        <w:r>
          <w:rPr>
            <w:rStyle w:val="Hyperlink"/>
          </w:rPr>
          <w:t xml:space="preserve">https://doi.org/10.2307/2287572</w:t>
        </w:r>
      </w:hyperlink>
      <w:r>
        <w:t xml:space="preserve">.</w:t>
      </w:r>
    </w:p>
    <w:bookmarkEnd w:id="167"/>
    <w:bookmarkStart w:id="168"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168"/>
    <w:bookmarkStart w:id="170"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169">
        <w:r>
          <w:rPr>
            <w:rStyle w:val="Hyperlink"/>
          </w:rPr>
          <w:t xml:space="preserve">https://doi.org/10.1002/(SICI)1097-0258(19980130)17:2&lt;219::AID-SIM735&gt;3.0.CO;2-D</w:t>
        </w:r>
      </w:hyperlink>
      <w:r>
        <w:t xml:space="preserve">.</w:t>
      </w:r>
    </w:p>
    <w:bookmarkEnd w:id="170"/>
    <w:bookmarkStart w:id="171"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171"/>
    <w:bookmarkStart w:id="172"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172"/>
    <w:bookmarkStart w:id="174"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173">
        <w:r>
          <w:rPr>
            <w:rStyle w:val="Hyperlink"/>
          </w:rPr>
          <w:t xml:space="preserve">https://doi.org/10.1080/01621459.1975.10479872</w:t>
        </w:r>
      </w:hyperlink>
      <w:r>
        <w:t xml:space="preserve">.</w:t>
      </w:r>
    </w:p>
    <w:bookmarkEnd w:id="174"/>
    <w:bookmarkStart w:id="176"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175">
        <w:r>
          <w:rPr>
            <w:rStyle w:val="Hyperlink"/>
          </w:rPr>
          <w:t xml:space="preserve">https://doi.org/10.1080/00401706.1972.10488981</w:t>
        </w:r>
      </w:hyperlink>
      <w:r>
        <w:t xml:space="preserve">.</w:t>
      </w:r>
    </w:p>
    <w:bookmarkEnd w:id="176"/>
    <w:bookmarkStart w:id="178"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177">
        <w:r>
          <w:rPr>
            <w:rStyle w:val="Hyperlink"/>
          </w:rPr>
          <w:t xml:space="preserve">https://doi.org/10.2307/2344317</w:t>
        </w:r>
      </w:hyperlink>
      <w:r>
        <w:t xml:space="preserve">.</w:t>
      </w:r>
    </w:p>
    <w:bookmarkEnd w:id="178"/>
    <w:bookmarkStart w:id="180"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179">
        <w:r>
          <w:rPr>
            <w:rStyle w:val="Hyperlink"/>
          </w:rPr>
          <w:t xml:space="preserve">https://doi.org/10.2307/2335206</w:t>
        </w:r>
      </w:hyperlink>
      <w:r>
        <w:t xml:space="preserve">.</w:t>
      </w:r>
    </w:p>
    <w:bookmarkEnd w:id="180"/>
    <w:bookmarkStart w:id="182"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181">
        <w:r>
          <w:rPr>
            <w:rStyle w:val="Hyperlink"/>
          </w:rPr>
          <w:t xml:space="preserve">https://doi.org/10.1080/01621459.1974.10480146</w:t>
        </w:r>
      </w:hyperlink>
      <w:r>
        <w:t xml:space="preserve">.</w:t>
      </w:r>
    </w:p>
    <w:bookmarkEnd w:id="182"/>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110" Target="media/rId110.png" /><Relationship Type="http://schemas.openxmlformats.org/officeDocument/2006/relationships/image" Id="rId93" Target="media/rId93.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106" Target="media/rId106.png" /><Relationship Type="http://schemas.openxmlformats.org/officeDocument/2006/relationships/image" Id="rId89" Target="media/rId89.png" /><Relationship Type="http://schemas.openxmlformats.org/officeDocument/2006/relationships/image" Id="rId67" Target="media/rId67.png" /><Relationship Type="http://schemas.openxmlformats.org/officeDocument/2006/relationships/image" Id="rId102" Target="media/rId102.png" /><Relationship Type="http://schemas.openxmlformats.org/officeDocument/2006/relationships/image" Id="rId85" Target="media/rId85.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45" Target="media/rId45.png" /><Relationship Type="http://schemas.openxmlformats.org/officeDocument/2006/relationships/hyperlink" Id="rId169" Target="https://doi.org/10.1002/(SICI)1097-0258(19980130)17:2&lt;219::AID-SIM735&gt;3.0.CO;2-D" TargetMode="External" /><Relationship Type="http://schemas.openxmlformats.org/officeDocument/2006/relationships/hyperlink" Id="rId175" Target="https://doi.org/10.1080/00401706.1972.10488981" TargetMode="External" /><Relationship Type="http://schemas.openxmlformats.org/officeDocument/2006/relationships/hyperlink" Id="rId162" Target="https://doi.org/10.1080/01621459.1958.10501452" TargetMode="External" /><Relationship Type="http://schemas.openxmlformats.org/officeDocument/2006/relationships/hyperlink" Id="rId181" Target="https://doi.org/10.1080/01621459.1974.10480146" TargetMode="External" /><Relationship Type="http://schemas.openxmlformats.org/officeDocument/2006/relationships/hyperlink" Id="rId173" Target="https://doi.org/10.1080/01621459.1975.10479872" TargetMode="External" /><Relationship Type="http://schemas.openxmlformats.org/officeDocument/2006/relationships/hyperlink" Id="rId154" Target="https://doi.org/10.1109/24.293488" TargetMode="External" /><Relationship Type="http://schemas.openxmlformats.org/officeDocument/2006/relationships/hyperlink" Id="rId156" Target="https://doi.org/10.1214/aos/1176342705" TargetMode="External" /><Relationship Type="http://schemas.openxmlformats.org/officeDocument/2006/relationships/hyperlink" Id="rId151" Target="https://doi.org/10.1214/aos/1176344247" TargetMode="External" /><Relationship Type="http://schemas.openxmlformats.org/officeDocument/2006/relationships/hyperlink" Id="rId166" Target="https://doi.org/10.2307/2287572" TargetMode="External" /><Relationship Type="http://schemas.openxmlformats.org/officeDocument/2006/relationships/hyperlink" Id="rId159" Target="https://doi.org/10.2307/2333825" TargetMode="External" /><Relationship Type="http://schemas.openxmlformats.org/officeDocument/2006/relationships/hyperlink" Id="rId179" Target="https://doi.org/10.2307/2335206" TargetMode="External" /><Relationship Type="http://schemas.openxmlformats.org/officeDocument/2006/relationships/hyperlink" Id="rId177" Target="https://doi.org/10.2307/2344317" TargetMode="External" /><Relationship Type="http://schemas.openxmlformats.org/officeDocument/2006/relationships/hyperlink" Id="rId164" Target="https://doi.org/10.2307/4616203" TargetMode="External" /></Relationships>
</file>

<file path=word/_rels/footnotes.xml.rels><?xml version="1.0" encoding="UTF-8"?><Relationships xmlns="http://schemas.openxmlformats.org/package/2006/relationships"><Relationship Type="http://schemas.openxmlformats.org/officeDocument/2006/relationships/hyperlink" Id="rId169" Target="https://doi.org/10.1002/(SICI)1097-0258(19980130)17:2&lt;219::AID-SIM735&gt;3.0.CO;2-D" TargetMode="External" /><Relationship Type="http://schemas.openxmlformats.org/officeDocument/2006/relationships/hyperlink" Id="rId175" Target="https://doi.org/10.1080/00401706.1972.10488981" TargetMode="External" /><Relationship Type="http://schemas.openxmlformats.org/officeDocument/2006/relationships/hyperlink" Id="rId162" Target="https://doi.org/10.1080/01621459.1958.10501452" TargetMode="External" /><Relationship Type="http://schemas.openxmlformats.org/officeDocument/2006/relationships/hyperlink" Id="rId181" Target="https://doi.org/10.1080/01621459.1974.10480146" TargetMode="External" /><Relationship Type="http://schemas.openxmlformats.org/officeDocument/2006/relationships/hyperlink" Id="rId173" Target="https://doi.org/10.1080/01621459.1975.10479872" TargetMode="External" /><Relationship Type="http://schemas.openxmlformats.org/officeDocument/2006/relationships/hyperlink" Id="rId154" Target="https://doi.org/10.1109/24.293488" TargetMode="External" /><Relationship Type="http://schemas.openxmlformats.org/officeDocument/2006/relationships/hyperlink" Id="rId156" Target="https://doi.org/10.1214/aos/1176342705" TargetMode="External" /><Relationship Type="http://schemas.openxmlformats.org/officeDocument/2006/relationships/hyperlink" Id="rId151" Target="https://doi.org/10.1214/aos/1176344247" TargetMode="External" /><Relationship Type="http://schemas.openxmlformats.org/officeDocument/2006/relationships/hyperlink" Id="rId166" Target="https://doi.org/10.2307/2287572" TargetMode="External" /><Relationship Type="http://schemas.openxmlformats.org/officeDocument/2006/relationships/hyperlink" Id="rId159" Target="https://doi.org/10.2307/2333825" TargetMode="External" /><Relationship Type="http://schemas.openxmlformats.org/officeDocument/2006/relationships/hyperlink" Id="rId179" Target="https://doi.org/10.2307/2335206" TargetMode="External" /><Relationship Type="http://schemas.openxmlformats.org/officeDocument/2006/relationships/hyperlink" Id="rId177" Target="https://doi.org/10.2307/2344317" TargetMode="External" /><Relationship Type="http://schemas.openxmlformats.org/officeDocument/2006/relationships/hyperlink" Id="rId164" Target="https://doi.org/10.2307/4616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2025-01-27T15:25:56Z</dcterms:created>
  <dcterms:modified xsi:type="dcterms:W3CDTF">2025-01-27T15:25:56Z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2024-01-25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