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png" ContentType="image/png"/>
  <Override PartName="/word/media/rId133.png" ContentType="image/png"/>
  <Override PartName="/word/media/rId66.png" ContentType="image/png"/>
  <Override PartName="/word/media/rId70.png" ContentType="image/png"/>
  <Override PartName="/word/media/rId74.png" ContentType="image/png"/>
  <Override PartName="/word/media/rId78.png" ContentType="image/png"/>
  <Override PartName="/word/media/rId110.png" ContentType="image/png"/>
  <Override PartName="/word/media/rId114.png" ContentType="image/png"/>
  <Override PartName="/word/media/rId118.png" ContentType="image/png"/>
  <Override PartName="/word/media/rId122.png" ContentType="image/png"/>
  <Override PartName="/word/media/rId89.png" ContentType="image/png"/>
  <Override PartName="/word/media/rId93.png" ContentType="image/png"/>
  <Override PartName="/word/media/rId97.png" ContentType="image/png"/>
  <Override PartName="/word/media/rId10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 de Sobrevivência</w:t>
      </w:r>
    </w:p>
    <w:p>
      <w:pPr>
        <w:pStyle w:val="Subtitle"/>
      </w:pPr>
      <w:r>
        <w:t xml:space="preserve">Iniciação Ciêntifica - PIBIC 2024/2025 (UFPA)</w:t>
      </w:r>
    </w:p>
    <w:p>
      <w:pPr>
        <w:pStyle w:val="Author"/>
      </w:pPr>
      <w:r>
        <w:t xml:space="preserve">Breno Cauã Rodrigues da Silva</w:t>
      </w:r>
    </w:p>
    <w:p>
      <w:pPr>
        <w:pStyle w:val="Date"/>
      </w:pPr>
      <w:r>
        <w:t xml:space="preserve">2024-01-25</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8"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objetivo deste capítulo inicial é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se desenvolveram nas últimas duas décadas do século XX. Esse avanço foi impulsionado pela evolução das técnicas estatísticas aliada ao progresso computacional.</w:t>
      </w:r>
    </w:p>
    <w:p>
      <w:pPr>
        <w:pStyle w:val="BodyText"/>
      </w:pPr>
      <w:r>
        <w:t xml:space="preserve">Na Análise de Sobrevivência, a variável resposta é, em geral, o</w:t>
      </w:r>
      <w:r>
        <w:t xml:space="preserve"> </w:t>
      </w:r>
      <w:r>
        <w:rPr>
          <w:i/>
          <w:iCs/>
        </w:rPr>
        <w:t xml:space="preserve">tempo até a ocorrência de um evento de interesse</w:t>
      </w:r>
      <w:r>
        <w:t xml:space="preserve">. Especificamente, essa área se concentra em modelar e compreender o tempo necessário para que um evento significativo ocorra, sendo este denominado</w:t>
      </w:r>
      <w:r>
        <w:t xml:space="preserve"> </w:t>
      </w:r>
      <w:r>
        <w:rPr>
          <w:b/>
          <w:bCs/>
        </w:rPr>
        <w:t xml:space="preserve">tempo de falha</w:t>
      </w:r>
      <w:r>
        <w:t xml:space="preserve">. Como exemplo,</w:t>
      </w:r>
      <w:r>
        <w:t xml:space="preserve"> </w:t>
      </w:r>
      <w:r>
        <w:t xml:space="preserve">Colosimo e Giolo (2006)</w:t>
      </w:r>
      <w:r>
        <w:t xml:space="preserve"> </w:t>
      </w:r>
      <w:r>
        <w:t xml:space="preserve">mencionam casos como o tempo até a morte de um paciente, até a cura de uma doença ou até a recidiva de uma condição clínica.</w:t>
      </w:r>
    </w:p>
    <w:p>
      <w:pPr>
        <w:pStyle w:val="BodyText"/>
      </w:pPr>
      <w:r>
        <w:t xml:space="preserve">Uma questão frequentemente levantada é: por que não utilizar outras técnicas estatísticas? Métodos tradicionais não são adequados para dados de sobrevivência devido a uma característica única: a</w:t>
      </w:r>
      <w:r>
        <w:t xml:space="preserve"> </w:t>
      </w:r>
      <w:r>
        <w:rPr>
          <w:b/>
          <w:bCs/>
        </w:rPr>
        <w:t xml:space="preserve">censura</w:t>
      </w:r>
      <w:r>
        <w:t xml:space="preserve">. Esse conceito refere-se à observação parcial do tempo de falha, como ocorre quando o acompanhamento de um paciente é interrompido antes do evento de interesse. A censura, sendo um elemento essencial da Análise de Sobrevivência, caracteriza situações em que o tempo de falha real é desconhecido, sabendo-se apenas que ele excede determinado ponto.</w:t>
      </w:r>
    </w:p>
    <w:bookmarkEnd w:id="21"/>
    <w:bookmarkStart w:id="22" w:name="tempo-de-falha"/>
    <w:p>
      <w:pPr>
        <w:pStyle w:val="Heading2"/>
      </w:pPr>
      <w:r>
        <w:t xml:space="preserve">1.2 Tempo de Falha</w:t>
      </w:r>
    </w:p>
    <w:p>
      <w:pPr>
        <w:pStyle w:val="FirstParagraph"/>
      </w:pPr>
      <w:r>
        <w:t xml:space="preserve">Na Análise de Sobrevivência, é fundamental estabelecer alguns pontos iniciais para o estudo. O primeiro deles é o</w:t>
      </w:r>
      <w:r>
        <w:t xml:space="preserve"> </w:t>
      </w:r>
      <w:r>
        <w:rPr>
          <w:b/>
          <w:bCs/>
        </w:rPr>
        <w:t xml:space="preserve">tempo inicial do estudo</w:t>
      </w:r>
      <w:r>
        <w:t xml:space="preserve">, que deve ser claramente definido para garantir que os indivíduos sejam comparáveis no ponto de partida, diferenciando-se apenas pelas covariáveis medidas. Existem diversas maneiras de definir o tempo inicial, sendo o mais comum o</w:t>
      </w:r>
      <w:r>
        <w:t xml:space="preserve"> </w:t>
      </w:r>
      <w:r>
        <w:rPr>
          <w:b/>
          <w:bCs/>
        </w:rPr>
        <w:t xml:space="preserve">tempo cronológico</w:t>
      </w:r>
      <w:r>
        <w:t xml:space="preserve">. Contudo, em áreas como Engenharia, outras métricas, como número de ciclos ou quilometragem, também podem ser utilizadas.</w:t>
      </w:r>
      <w:r>
        <w:t xml:space="preserve"> </w:t>
      </w:r>
      <w:r>
        <w:t xml:space="preserve">Colosimo e Giolo (2006)</w:t>
      </w:r>
      <w:r>
        <w:t xml:space="preserve"> </w:t>
      </w:r>
      <w:r>
        <w:t xml:space="preserve">apresentam exemplos práticos, como medidas de carga para equipamentos.</w:t>
      </w:r>
    </w:p>
    <w:p>
      <w:pPr>
        <w:pStyle w:val="BodyText"/>
      </w:pPr>
      <w:r>
        <w:t xml:space="preserve">Outro aspecto essencial é a</w:t>
      </w:r>
      <w:r>
        <w:t xml:space="preserve"> </w:t>
      </w:r>
      <w:r>
        <w:rPr>
          <w:b/>
          <w:bCs/>
        </w:rPr>
        <w:t xml:space="preserve">definição do evento de interesse</w:t>
      </w:r>
      <w:r>
        <w:t xml:space="preserve">, frequentemente associado a falhas ou situações indesejáveis. Para garantir resultados consistentes, a definição do evento deve ser clara e objetiva. Um exemplo elucidativo é fornecido por</w:t>
      </w:r>
      <w:r>
        <w:t xml:space="preserve"> </w:t>
      </w:r>
      <w:r>
        <w:t xml:space="preserve">Colosimo e Giolo (2006)</w:t>
      </w:r>
      <w:r>
        <w:t xml:space="preserve">:</w:t>
      </w:r>
    </w:p>
    <w:p>
      <w:pPr>
        <w:pStyle w:val="BlockText"/>
      </w:pP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‘inapropriado para consumo’</w:t>
      </w:r>
      <w:r>
        <w:rPr>
          <w:i/>
          <w:iCs/>
        </w:rP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rPr>
          <w:i/>
          <w:iCs/>
        </w:rPr>
        <w:t xml:space="preserve">de área.”</w:t>
      </w:r>
    </w:p>
    <w:bookmarkEnd w:id="22"/>
    <w:bookmarkStart w:id="23" w:name="censura"/>
    <w:p>
      <w:pPr>
        <w:pStyle w:val="Heading2"/>
      </w:pPr>
      <w:r>
        <w:t xml:space="preserve">1.3 Censura</w:t>
      </w:r>
    </w:p>
    <w:p>
      <w:pPr>
        <w:pStyle w:val="FirstParagraph"/>
      </w:pPr>
      <w:r>
        <w:t xml:space="preserve">Estudos clínicos que tratam a resposta como uma variável temporal geralmente são prospectivos e de longa duração. No entanto, mesmo sendo extensos, esses estudos frequentemente se encerram antes que todos os indivíduos passem pelo evento de interesse.</w:t>
      </w:r>
    </w:p>
    <w:p>
      <w:pPr>
        <w:pStyle w:val="BodyText"/>
      </w:pPr>
      <w:r>
        <w:t xml:space="preserve">Uma característica comum nesses estudos é a</w:t>
      </w:r>
      <w:r>
        <w:t xml:space="preserve"> </w:t>
      </w:r>
      <w:r>
        <w:rPr>
          <w:b/>
          <w:bCs/>
        </w:rPr>
        <w:t xml:space="preserve">censura</w:t>
      </w:r>
      <w:r>
        <w:t xml:space="preserve">, que corresponde a observações incompletas ou parciais. Apesar disso, tais observações fornecem informações valiosas para a análise.</w:t>
      </w:r>
      <w:r>
        <w:t xml:space="preserve"> </w:t>
      </w:r>
      <w:r>
        <w:t xml:space="preserve">Colosimo e Giolo (2006)</w:t>
      </w:r>
      <w:r>
        <w:t xml:space="preserve"> </w:t>
      </w:r>
      <w:r>
        <w:t xml:space="preserve">destacam a relevância de incluir dados censurados na análise:</w:t>
      </w:r>
    </w:p>
    <w:p>
      <w:pPr>
        <w:pStyle w:val="BlockText"/>
      </w:pP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p>
    <w:p>
      <w:pPr>
        <w:pStyle w:val="FirstParagraph"/>
      </w:pPr>
      <w:r>
        <w:t xml:space="preserve">Existem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previamente definido.</w:t>
      </w:r>
    </w:p>
    <w:p>
      <w:pPr>
        <w:pStyle w:val="Compact"/>
        <w:numPr>
          <w:ilvl w:val="0"/>
          <w:numId w:val="1001"/>
        </w:numPr>
      </w:pPr>
      <w:r>
        <w:rPr>
          <w:b/>
          <w:bCs/>
        </w:rPr>
        <w:t xml:space="preserve">Censura Tipo II:</w:t>
      </w:r>
      <w:r>
        <w:t xml:space="preserve"> </w:t>
      </w:r>
      <w:r>
        <w:t xml:space="preserve">O estudo termina quando um número específico de indivíduos passa pelo evento de interesse.</w:t>
      </w:r>
    </w:p>
    <w:p>
      <w:pPr>
        <w:pStyle w:val="Compact"/>
        <w:numPr>
          <w:ilvl w:val="0"/>
          <w:numId w:val="1001"/>
        </w:numPr>
      </w:pPr>
      <w:r>
        <w:rPr>
          <w:b/>
          <w:bCs/>
        </w:rPr>
        <w:t xml:space="preserve">Censura Aleatória:</w:t>
      </w:r>
      <w:r>
        <w:t xml:space="preserve"> </w:t>
      </w:r>
      <w:r>
        <w:t xml:space="preserve">Ocorre quando um indivíduo é retirado do estudo antes do evento de interesse.</w:t>
      </w:r>
    </w:p>
    <w:p>
      <w:pPr>
        <w:pStyle w:val="FirstParagraph"/>
      </w:pPr>
      <w:r>
        <w:t xml:space="preserve">A censura mais comum é a</w:t>
      </w:r>
      <w:r>
        <w:t xml:space="preserve"> </w:t>
      </w:r>
      <w:r>
        <w:rPr>
          <w:b/>
          <w:bCs/>
        </w:rPr>
        <w:t xml:space="preserve">censura à direita</w:t>
      </w:r>
      <w:r>
        <w:t xml:space="preserve">, em que o evento ocorre após o tempo registrado. Entretanto, outros tipos de censura, como</w:t>
      </w:r>
      <w:r>
        <w:t xml:space="preserve"> </w:t>
      </w:r>
      <w:r>
        <w:rPr>
          <w:b/>
          <w:bCs/>
        </w:rPr>
        <w:t xml:space="preserve">à esquerda</w:t>
      </w:r>
      <w:r>
        <w:t xml:space="preserve"> </w:t>
      </w:r>
      <w:r>
        <w:t xml:space="preserve">e</w:t>
      </w:r>
      <w:r>
        <w:t xml:space="preserve"> </w:t>
      </w:r>
      <w:r>
        <w:rPr>
          <w:b/>
          <w:bCs/>
        </w:rPr>
        <w:t xml:space="preserve">intervalar</w:t>
      </w:r>
      <w:r>
        <w:t xml:space="preserve">, também são possíveis.</w:t>
      </w:r>
    </w:p>
    <w:p>
      <w:pPr>
        <w:pStyle w:val="BodyText"/>
      </w:pPr>
      <w:r>
        <w:t xml:space="preserve">Censura à esquerda ocorre quando o evento já aconteceu antes do início da observação. Um exemplo é um estudo sobre a idade em que crianças aprendem a ler:</w:t>
      </w:r>
    </w:p>
    <w:p>
      <w:pPr>
        <w:pStyle w:val="BlockText"/>
      </w:pPr>
      <w:r>
        <w:rPr>
          <w:i/>
          <w:iCs/>
        </w:rPr>
        <w:t xml:space="preserve">“Quando os pesquisadores começaram a pesquisa, algumas crianças já sabiam ler e não se lembravam com que idade isso ocorreu, caracterizando observações censuradas à esquerda.”</w:t>
      </w:r>
    </w:p>
    <w:p>
      <w:pPr>
        <w:pStyle w:val="FirstParagraph"/>
      </w:pPr>
      <w:r>
        <w:t xml:space="preserve">No mesmo estudo, observa-se censura à direita para crianças que ainda não sabiam ler no momento da coleta de dados. Nesse caso, os tempos de vida são classificados como</w:t>
      </w:r>
      <w:r>
        <w:t xml:space="preserve"> </w:t>
      </w:r>
      <w:r>
        <w:rPr>
          <w:b/>
          <w:bCs/>
        </w:rPr>
        <w:t xml:space="preserve">duplamente censurados</w:t>
      </w:r>
      <w:r>
        <w:t xml:space="preserve"> </w:t>
      </w:r>
      <w:r>
        <w:t xml:space="preserve">(Turnbull 1974)</w:t>
      </w:r>
      <w:r>
        <w:t xml:space="preserve">.</w:t>
      </w:r>
    </w:p>
    <w:p>
      <w:pPr>
        <w:pStyle w:val="BodyText"/>
      </w:pPr>
      <w:r>
        <w:t xml:space="preserve">A censura intervalar ocorre em estudos com visitas periódicas espaçadas, onde só se sabe que o evento ocorreu dentro de um intervalo de tempo. Quando o tempo de falha</w:t>
      </w:r>
      <w:r>
        <w:t xml:space="preserve"> </w:t>
      </w:r>
      <m:oMath>
        <m:r>
          <m:t>T</m:t>
        </m:r>
      </m:oMath>
      <w:r>
        <w:t xml:space="preserve"> </w:t>
      </w:r>
      <w:r>
        <w:t xml:space="preserve">é impreciso, considera-se que ele pertence a um intervalo</w:t>
      </w:r>
      <w:r>
        <w:t xml:space="preserve"> </w:t>
      </w:r>
      <m:oMath>
        <m:r>
          <m:t>T</m:t>
        </m:r>
        <m:r>
          <m:rPr>
            <m:sty m:val="p"/>
          </m:rPr>
          <m:t>∈</m:t>
        </m:r>
        <m:r>
          <m:rPr>
            <m:sty m:val="p"/>
          </m:rPr>
          <m:t>(</m:t>
        </m:r>
        <m:r>
          <m:t>L</m:t>
        </m:r>
        <m:r>
          <m:rPr>
            <m:sty m:val="p"/>
          </m:rPr>
          <m:t>,</m:t>
        </m:r>
        <m:r>
          <m:t>U</m:t>
        </m:r>
        <m:r>
          <m:rPr>
            <m:sty m:val="p"/>
          </m:rPr>
          <m:t>]</m:t>
        </m:r>
      </m:oMath>
      <w:r>
        <w:t xml:space="preserve">, conhecido como</w:t>
      </w:r>
      <w:r>
        <w:t xml:space="preserve"> </w:t>
      </w:r>
      <w:r>
        <w:rPr>
          <w:b/>
          <w:bCs/>
        </w:rPr>
        <w:t xml:space="preserve">sobrevivência intervalar</w:t>
      </w:r>
      <w:r>
        <w:t xml:space="preserve">. Casos especiais incluem tempos de falha exatos, em que</w:t>
      </w:r>
      <w:r>
        <w:t xml:space="preserve"> </w:t>
      </w:r>
      <m:oMath>
        <m:r>
          <m:t>L</m:t>
        </m:r>
        <m:r>
          <m:rPr>
            <m:sty m:val="p"/>
          </m:rPr>
          <m:t>=</m:t>
        </m:r>
        <m:r>
          <m:t>U</m:t>
        </m:r>
      </m:oMath>
      <w:r>
        <w:t xml:space="preserve">, sendo</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w:t>
      </w:r>
      <w:r>
        <w:t xml:space="preserve"> </w:t>
      </w:r>
      <w:r>
        <w:t xml:space="preserve">(Lindsey e Ryan 1998)</w:t>
      </w:r>
      <w:r>
        <w:t xml:space="preserve">. Destaca-se a seguinte observação de</w:t>
      </w:r>
      <w:r>
        <w:t xml:space="preserve"> </w:t>
      </w:r>
      <w:r>
        <w:t xml:space="preserve">Colosimo e Giolo (2006)</w:t>
      </w:r>
      <w:r>
        <w:t xml:space="preserve">:</w:t>
      </w:r>
    </w:p>
    <w:p>
      <w:pPr>
        <w:pStyle w:val="BlockText"/>
      </w:pPr>
      <w:r>
        <w:rPr>
          <w:i/>
          <w:iCs/>
        </w:rPr>
        <w:t xml:space="preserve">“A presença de censura traz desafios para a análise estatística. A censura do Tipo II é, em princípio, mais tratável que os outros tipos, mas para situações simples, que raramente ocorrem em estudos clínicos</w:t>
      </w:r>
      <w:r>
        <w:rPr>
          <w:i/>
          <w:iCs/>
        </w:rPr>
        <w:t xml:space="preserve"> </w:t>
      </w:r>
      <w:r>
        <w:rPr>
          <w:i/>
          <w:iCs/>
        </w:rPr>
        <w:t xml:space="preserve">(Lawless 1982)</w:t>
      </w:r>
      <w:r>
        <w:rPr>
          <w:i/>
          <w:iCs/>
        </w:rPr>
        <w:t xml:space="preserve">. Na prática, utiliza-se resultados assintóticos para a análise dos dados de sobrevivência.”</w:t>
      </w:r>
    </w:p>
    <w:bookmarkEnd w:id="23"/>
    <w:bookmarkStart w:id="24" w:name="dados-truncados"/>
    <w:p>
      <w:pPr>
        <w:pStyle w:val="Heading2"/>
      </w:pPr>
      <w:r>
        <w:t xml:space="preserve">1.4 Dados Truncados</w:t>
      </w:r>
    </w:p>
    <w:p>
      <w:pPr>
        <w:pStyle w:val="FirstParagraph"/>
      </w:pPr>
      <w:r>
        <w:t xml:space="preserve">O truncamento é uma característica de alguns estudos de sobrevivência que, muitas vezes, é confundida com a censura. Ele ocorre quando certos indivíduos são excluídos do estudo devido a uma condição específica. Nesse caso, os pacientes só são incluídos no acompanhamento após passarem por um determinado evento, em vez de serem acompanhados desde o início do processo.</w:t>
      </w:r>
    </w:p>
    <w:bookmarkEnd w:id="24"/>
    <w:bookmarkStart w:id="25" w:name="sec-ReprDados"/>
    <w:p>
      <w:pPr>
        <w:pStyle w:val="Heading2"/>
      </w:pPr>
      <w:r>
        <w:t xml:space="preserve">1.5 Representação dos Dados de Sobrevivência</w:t>
      </w:r>
    </w:p>
    <w:p>
      <w:pPr>
        <w:pStyle w:val="FirstParagraph"/>
      </w:pPr>
      <w:r>
        <w:t xml:space="preserve">Considere uma amostra aleatória de tamanho</w:t>
      </w:r>
      <w:r>
        <w:t xml:space="preserve"> </w:t>
      </w:r>
      <m:oMath>
        <m:r>
          <m:t>n</m:t>
        </m:r>
      </m:oMath>
      <w:r>
        <w:t xml:space="preserve">. O</w:t>
      </w:r>
      <w:r>
        <w:t xml:space="preserve"> </w:t>
      </w:r>
      <m:oMath>
        <m:r>
          <m:t>i</m:t>
        </m:r>
      </m:oMath>
      <w:r>
        <w:t xml:space="preserve">-ésimo indivíduo no estudo é geralmente representado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na análise de sobrevivência é representada por duas colunas no conjunto de dados.</w:t>
      </w:r>
    </w:p>
    <w:p>
      <w:pPr>
        <w:pStyle w:val="BodyText"/>
      </w:pPr>
      <w:r>
        <w:t xml:space="preserve">Se o estudo também incluir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r>
              <m:rPr>
                <m:sty m:val="b"/>
              </m:rPr>
              <m:t>x</m:t>
            </m:r>
            <m:r>
              <m:t>i</m:t>
            </m:r>
          </m:e>
        </m:d>
      </m:oMath>
      <w:r>
        <w:t xml:space="preserve">. Caso a censura seja intervalar, a representação é</w:t>
      </w:r>
      <w:r>
        <w:t xml:space="preserve"> </w:t>
      </w:r>
      <m:oMath>
        <m:d>
          <m:dPr>
            <m:begChr m:val="("/>
            <m:endChr m:val=")"/>
            <m:sepChr m:val=""/>
            <m:grow/>
          </m:dPr>
          <m:e>
            <m:r>
              <m:t>l</m:t>
            </m:r>
            <m:r>
              <m:t>i</m:t>
            </m:r>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odyText"/>
      </w:pPr>
      <w:r>
        <w:t xml:space="preserve">Para exemplos de dados de sobrevivência, veja a Seção 1.5 do livro de</w:t>
      </w:r>
      <w:r>
        <w:t xml:space="preserve"> </w:t>
      </w:r>
      <w:r>
        <w:t xml:space="preserve">Colosimo e Giolo (2006)</w:t>
      </w:r>
      <w:r>
        <w:t xml:space="preserve">.</w:t>
      </w:r>
    </w:p>
    <w:bookmarkEnd w:id="25"/>
    <w:bookmarkStart w:id="36"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w:t>
      </w:r>
      <w:r>
        <w:t xml:space="preserve">uma variável aleatória (v.a.), na maioria dos casos contínua, que representa o tempo de falha. Assim, o suporte de</w:t>
      </w:r>
      <w:r>
        <w:t xml:space="preserve"> </w:t>
      </w:r>
      <m:oMath>
        <m:r>
          <m:t>T</m:t>
        </m:r>
      </m:oMath>
      <w:r>
        <w:t xml:space="preserve"> </w:t>
      </w:r>
      <w:r>
        <w:t xml:space="preserve">é definido nos reais positivos</w:t>
      </w:r>
      <w:r>
        <w:t xml:space="preserve"> </w:t>
      </w:r>
      <m:oMath>
        <m:sSup>
          <m:e>
            <m:r>
              <m:rPr>
                <m:sty m:val="p"/>
                <m:scr m:val="double-struck"/>
              </m:rPr>
              <m:t>R</m:t>
            </m:r>
          </m:e>
          <m:sup>
            <m:r>
              <m:rPr>
                <m:sty m:val="p"/>
              </m:rPr>
              <m:t>+</m:t>
            </m:r>
          </m:sup>
        </m:sSup>
      </m:oMath>
      <w:r>
        <w:t xml:space="preserve">. Tal variável é geralmente representada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taxa de risco). Tais funções, e outras relacionadas, são usadas ao longo do processo de análise de dados de sobrevivência. A seguir, algumas dessas funções e as relações entre elas serão definidas.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bookmarkStart w:id="26" w:name="eq-fSobrevida"/>
      <m:oMathPara>
        <m:oMathParaPr>
          <m:jc m:val="center"/>
        </m:oMathParaPr>
        <m:oMath>
          <m:r>
            <m:t>S</m:t>
          </m:r>
          <m:d>
            <m:dPr>
              <m:begChr m:val="("/>
              <m:endChr m:val=")"/>
              <m:sepChr m:val=""/>
              <m:grow/>
            </m:dPr>
            <m:e>
              <m:r>
                <m:t>t</m:t>
              </m:r>
            </m:e>
          </m:d>
          <m:r>
            <m:rPr>
              <m:sty m:val="p"/>
            </m:rPr>
            <m:t>=</m:t>
          </m:r>
          <m:r>
            <m:t>P</m:t>
          </m:r>
          <m:d>
            <m:dPr>
              <m:begChr m:val="("/>
              <m:endChr m:val=")"/>
              <m:sepChr m:val=""/>
              <m:grow/>
            </m:dPr>
            <m:e>
              <m:r>
                <m:t>T</m:t>
              </m:r>
              <m:r>
                <m:rPr>
                  <m:sty m:val="p"/>
                </m:rPr>
                <m:t>&gt;</m:t>
              </m:r>
              <m:r>
                <m:t>t</m:t>
              </m:r>
            </m:e>
          </m:d>
          <m:r>
            <m:rPr>
              <m:sty m:val="p"/>
            </m:rPr>
            <m:t>,</m:t>
          </m:r>
          <m:r>
            <m:t>  </m:t>
          </m:r>
          <m:d>
            <m:dPr>
              <m:begChr m:val="("/>
              <m:endChr m:val=")"/>
              <m:sepChr m:val=""/>
              <m:grow/>
            </m:dPr>
            <m:e>
              <m:r>
                <m:t>1.1</m:t>
              </m:r>
            </m:e>
          </m:d>
        </m:oMath>
      </m:oMathPara>
      <w:bookmarkEnd w:id="26"/>
    </w:p>
    <w:p>
      <w:pPr>
        <w:pStyle w:val="FirstParagraph"/>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p>
      <w:pPr>
        <w:pStyle w:val="BodyText"/>
      </w:pPr>
      <w:bookmarkStart w:id="27" w:name="eq-complfSobrevida"/>
      <m:oMathPara>
        <m:oMathParaPr>
          <m:jc m:val="center"/>
        </m:oMathParaPr>
        <m:oMath>
          <m:r>
            <m:t>F</m:t>
          </m:r>
          <m:d>
            <m:dPr>
              <m:begChr m:val="("/>
              <m:endChr m:val=")"/>
              <m:sepChr m:val=""/>
              <m:grow/>
            </m:dPr>
            <m:e>
              <m:r>
                <m:t>t</m:t>
              </m:r>
            </m:e>
          </m:d>
          <m:r>
            <m:rPr>
              <m:sty m:val="p"/>
            </m:rPr>
            <m:t>=</m:t>
          </m:r>
          <m:r>
            <m:t>1</m:t>
          </m:r>
          <m:r>
            <m:rPr>
              <m:sty m:val="p"/>
            </m:rPr>
            <m:t>−</m:t>
          </m:r>
          <m:r>
            <m:t>S</m:t>
          </m:r>
          <m:d>
            <m:dPr>
              <m:begChr m:val="("/>
              <m:endChr m:val=")"/>
              <m:sepChr m:val=""/>
              <m:grow/>
            </m:dPr>
            <m:e>
              <m:r>
                <m:t>t</m:t>
              </m:r>
            </m:e>
          </m:d>
          <m:r>
            <m:rPr>
              <m:sty m:val="p"/>
            </m:rPr>
            <m:t>.</m:t>
          </m:r>
          <m:r>
            <m:t>  </m:t>
          </m:r>
          <m:d>
            <m:dPr>
              <m:begChr m:val="("/>
              <m:endChr m:val=")"/>
              <m:sepChr m:val=""/>
              <m:grow/>
            </m:dPr>
            <m:e>
              <m:r>
                <m:t>1.2</m:t>
              </m:r>
            </m:e>
          </m:d>
        </m:oMath>
      </m:oMathPara>
      <w:bookmarkEnd w:id="27"/>
    </w:p>
    <w:bookmarkEnd w:id="28"/>
    <w:bookmarkStart w:id="30"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m:oMathPara>
        <m:oMathParaPr>
          <m:jc m:val="center"/>
        </m:oMathParaPr>
        <m:oMath>
          <m:r>
            <m:t>λ</m:t>
          </m:r>
          <m:d>
            <m:dPr>
              <m:begChr m:val="("/>
              <m:endChr m:val=")"/>
              <m:sepChr m:val=""/>
              <m:grow/>
            </m:dPr>
            <m:e>
              <m:r>
                <m:t>t</m:t>
              </m:r>
            </m:e>
          </m:d>
          <m:r>
            <m:rPr>
              <m:sty m:val="p"/>
            </m:rPr>
            <m:t>=</m:t>
          </m:r>
          <m:f>
            <m:fPr>
              <m:type m:val="bar"/>
            </m:fPr>
            <m:num>
              <m:r>
                <m:t>S</m:t>
              </m:r>
              <m:d>
                <m:dPr>
                  <m:begChr m:val="("/>
                  <m:endChr m:val=")"/>
                  <m:sepChr m:val=""/>
                  <m:grow/>
                </m:dPr>
                <m:e>
                  <m:r>
                    <m:t>t</m:t>
                  </m:r>
                </m:e>
              </m:d>
              <m:r>
                <m:rPr>
                  <m:sty m:val="p"/>
                </m:rPr>
                <m:t>−</m:t>
              </m:r>
              <m:r>
                <m:t>S</m:t>
              </m:r>
              <m:d>
                <m:dPr>
                  <m:begChr m:val="("/>
                  <m:endChr m:val=")"/>
                  <m:sepChr m:val=""/>
                  <m:grow/>
                </m:dPr>
                <m:e>
                  <m:r>
                    <m:t>t</m:t>
                  </m:r>
                  <m:r>
                    <m:rPr>
                      <m:sty m:val="p"/>
                    </m:rPr>
                    <m:t>+</m:t>
                  </m:r>
                  <m:sSub>
                    <m:e>
                      <m:r>
                        <m:t>Δ</m:t>
                      </m:r>
                    </m:e>
                    <m:sub>
                      <m:r>
                        <m:t>t</m:t>
                      </m:r>
                    </m:sub>
                  </m:sSub>
                </m:e>
              </m:d>
            </m:num>
            <m:den>
              <m:r>
                <m:t>Δ</m:t>
              </m:r>
              <m:r>
                <m:t>t</m:t>
              </m:r>
              <m:r>
                <m:rPr>
                  <m:nor/>
                  <m:sty m:val="p"/>
                </m:rPr>
                <m:t> </m:t>
              </m:r>
              <m:r>
                <m:t>S</m:t>
              </m:r>
              <m:d>
                <m:dPr>
                  <m:begChr m:val="("/>
                  <m:endChr m:val=")"/>
                  <m:sepChr m:val=""/>
                  <m:grow/>
                </m:dPr>
                <m:e>
                  <m:r>
                    <m:t>t</m:t>
                  </m:r>
                </m:e>
              </m:d>
            </m:den>
          </m:f>
        </m:oMath>
      </m:oMathPara>
    </w:p>
    <w:p>
      <w:pPr>
        <w:pStyle w:val="FirstParagraph"/>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bookmarkStart w:id="29" w:name="eq-fTaxaFalha"/>
      <m:oMathPara>
        <m:oMathParaPr>
          <m:jc m:val="center"/>
        </m:oMathParaPr>
        <m:oMath>
          <m:r>
            <m:t>λ</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d>
                <m:dPr>
                  <m:begChr m:val="("/>
                  <m:endChr m:val=")"/>
                  <m:sepChr m:val=""/>
                  <m:grow/>
                </m:dPr>
                <m:e>
                  <m:r>
                    <m:t>t</m:t>
                  </m:r>
                  <m:r>
                    <m:rPr>
                      <m:sty m:val="p"/>
                    </m:rPr>
                    <m:t>≤</m:t>
                  </m:r>
                  <m:r>
                    <m:t>T</m:t>
                  </m:r>
                  <m:r>
                    <m:rPr>
                      <m:sty m:val="p"/>
                    </m:rPr>
                    <m:t>≤</m:t>
                  </m:r>
                  <m:r>
                    <m:t>t</m:t>
                  </m:r>
                  <m:r>
                    <m:rPr>
                      <m:sty m:val="p"/>
                    </m:rPr>
                    <m:t>+</m:t>
                  </m:r>
                  <m:r>
                    <m:t>Δ</m:t>
                  </m:r>
                  <m:r>
                    <m:t>t</m:t>
                  </m:r>
                  <m:r>
                    <m:rPr>
                      <m:sty m:val="p"/>
                    </m:rPr>
                    <m:t>|</m:t>
                  </m:r>
                  <m:r>
                    <m:t>T</m:t>
                  </m:r>
                  <m:r>
                    <m:rPr>
                      <m:sty m:val="p"/>
                    </m:rPr>
                    <m:t>≥</m:t>
                  </m:r>
                  <m:r>
                    <m:t>t</m:t>
                  </m:r>
                </m:e>
              </m:d>
            </m:num>
            <m:den>
              <m:r>
                <m:t>Δ</m:t>
              </m:r>
              <m:r>
                <m:t>t</m:t>
              </m:r>
            </m:den>
          </m:f>
          <m:r>
            <m:t>  </m:t>
          </m:r>
          <m:d>
            <m:dPr>
              <m:begChr m:val="("/>
              <m:endChr m:val=")"/>
              <m:sepChr m:val=""/>
              <m:grow/>
            </m:dPr>
            <m:e>
              <m:r>
                <m:t>1.3</m:t>
              </m:r>
            </m:e>
          </m:d>
        </m:oMath>
      </m:oMathPara>
      <w:bookmarkEnd w:id="29"/>
    </w:p>
    <w:p>
      <w:pPr>
        <w:pStyle w:val="FirstParagraph"/>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30"/>
    <w:bookmarkStart w:id="32" w:name="sec-TaxaAcu"/>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bookmarkStart w:id="31" w:name="eq-fTaxaFalhaAcumul"/>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t>  </m:t>
          </m:r>
          <m:d>
            <m:dPr>
              <m:begChr m:val="("/>
              <m:endChr m:val=")"/>
              <m:sepChr m:val=""/>
              <m:grow/>
            </m:dPr>
            <m:e>
              <m:r>
                <m:t>1.4</m:t>
              </m:r>
            </m:e>
          </m:d>
        </m:oMath>
      </m:oMathPara>
      <w:bookmarkEnd w:id="31"/>
    </w:p>
    <w:p>
      <w:pPr>
        <w:pStyle w:val="FirstParagraph"/>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2"/>
    <w:bookmarkStart w:id="35"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bookmarkStart w:id="33" w:name="eq-TempMédio"/>
      <m:oMathPara>
        <m:oMathParaPr>
          <m:jc m:val="center"/>
        </m:oMathParaPr>
        <m:oMath>
          <m:sSub>
            <m:e>
              <m:r>
                <m:t>t</m:t>
              </m:r>
            </m:e>
            <m:sub>
              <m:r>
                <m:t>m</m:t>
              </m:r>
            </m:sub>
          </m:sSub>
          <m:r>
            <m:rPr>
              <m:sty m:val="p"/>
            </m:rPr>
            <m:t>=</m:t>
          </m:r>
          <m:nary>
            <m:naryPr>
              <m:chr m:val="∫"/>
              <m:limLoc m:val="subSup"/>
              <m:subHide m:val="off"/>
              <m:supHide m:val="off"/>
            </m:naryPr>
            <m:sub>
              <m:r>
                <m:t>0</m:t>
              </m:r>
            </m:sub>
            <m:sup>
              <m:r>
                <m:rPr>
                  <m:sty m:val="p"/>
                </m:rPr>
                <m:t>∞</m:t>
              </m:r>
            </m:sup>
            <m:e>
              <m:r>
                <m:t>S</m:t>
              </m:r>
            </m:e>
          </m:nary>
          <m:d>
            <m:dPr>
              <m:begChr m:val="("/>
              <m:endChr m:val=")"/>
              <m:sepChr m:val=""/>
              <m:grow/>
            </m:dPr>
            <m:e>
              <m:r>
                <m:t>t</m:t>
              </m:r>
            </m:e>
          </m:d>
          <m:r>
            <m:t>d</m:t>
          </m:r>
          <m:r>
            <m:t>t</m:t>
          </m:r>
          <m:r>
            <m:rPr>
              <m:sty m:val="p"/>
            </m:rPr>
            <m:t>.</m:t>
          </m:r>
          <m:r>
            <m:t>  </m:t>
          </m:r>
          <m:d>
            <m:dPr>
              <m:begChr m:val="("/>
              <m:endChr m:val=")"/>
              <m:sepChr m:val=""/>
              <m:grow/>
            </m:dPr>
            <m:e>
              <m:r>
                <m:t>1.5</m:t>
              </m:r>
            </m:e>
          </m:d>
        </m:oMath>
      </m:oMathPara>
      <w:bookmarkEnd w:id="33"/>
    </w:p>
    <w:p>
      <w:pPr>
        <w:pStyle w:val="FirstParagraph"/>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bookmarkStart w:id="34" w:name="eq-TemVidaMediaResid"/>
      <m:oMathPara>
        <m:oMathParaPr>
          <m:jc m:val="center"/>
        </m:oMathParaPr>
        <m:oMath>
          <m:r>
            <m:rPr>
              <m:nor/>
              <m:sty m:val="p"/>
            </m:rPr>
            <m:t>vmr</m:t>
          </m:r>
          <m:d>
            <m:dPr>
              <m:begChr m:val="("/>
              <m:endChr m:val=")"/>
              <m:sepChr m:val=""/>
              <m:grow/>
            </m:dPr>
            <m:e>
              <m:r>
                <m:t>t</m:t>
              </m:r>
            </m:e>
          </m:d>
          <m:r>
            <m:rPr>
              <m:sty m:val="p"/>
            </m:rPr>
            <m:t>=</m:t>
          </m:r>
          <m:f>
            <m:fPr>
              <m:type m:val="bar"/>
            </m:fPr>
            <m:num>
              <m:nary>
                <m:naryPr>
                  <m:chr m:val="∫"/>
                  <m:limLoc m:val="subSup"/>
                  <m:subHide m:val="off"/>
                  <m:supHide m:val="off"/>
                </m:naryPr>
                <m:sub>
                  <m:r>
                    <m:t>0</m:t>
                  </m:r>
                </m:sub>
                <m:sup>
                  <m:r>
                    <m:rPr>
                      <m:sty m:val="p"/>
                    </m:rPr>
                    <m:t>∞</m:t>
                  </m:r>
                </m:sup>
                <m:e>
                  <m:d>
                    <m:dPr>
                      <m:begChr m:val="("/>
                      <m:endChr m:val=")"/>
                      <m:sepChr m:val=""/>
                      <m:grow/>
                    </m:dPr>
                    <m:e>
                      <m:r>
                        <m:t>u</m:t>
                      </m:r>
                      <m:r>
                        <m:rPr>
                          <m:sty m:val="p"/>
                        </m:rPr>
                        <m:t>−</m:t>
                      </m:r>
                      <m:r>
                        <m:t>t</m:t>
                      </m:r>
                    </m:e>
                  </m:d>
                </m:e>
              </m:nary>
              <m:r>
                <m:t>f</m:t>
              </m:r>
              <m:d>
                <m:dPr>
                  <m:begChr m:val="("/>
                  <m:endChr m:val=")"/>
                  <m:sepChr m:val=""/>
                  <m:grow/>
                </m:dPr>
                <m:e>
                  <m:r>
                    <m:t>u</m:t>
                  </m:r>
                </m:e>
              </m:d>
              <m:r>
                <m:t>d</m:t>
              </m:r>
              <m:r>
                <m:t>u</m:t>
              </m:r>
            </m:num>
            <m:den>
              <m:r>
                <m:t>S</m:t>
              </m:r>
              <m:d>
                <m:dPr>
                  <m:begChr m:val="("/>
                  <m:endChr m:val=")"/>
                  <m:sepChr m:val=""/>
                  <m:grow/>
                </m:dPr>
                <m:e>
                  <m:r>
                    <m:t>t</m:t>
                  </m:r>
                </m:e>
              </m:d>
            </m:den>
          </m:f>
          <m:r>
            <m:rPr>
              <m:sty m:val="p"/>
            </m:rPr>
            <m:t>=</m:t>
          </m:r>
          <m:f>
            <m:fPr>
              <m:type m:val="bar"/>
            </m:fPr>
            <m:num>
              <m:nary>
                <m:naryPr>
                  <m:chr m:val="∫"/>
                  <m:limLoc m:val="subSup"/>
                  <m:subHide m:val="off"/>
                  <m:supHide m:val="off"/>
                </m:naryPr>
                <m:sub>
                  <m:r>
                    <m:t>0</m:t>
                  </m:r>
                </m:sub>
                <m:sup>
                  <m:r>
                    <m:rPr>
                      <m:sty m:val="p"/>
                    </m:rPr>
                    <m:t>∞</m:t>
                  </m:r>
                </m:sup>
                <m:e>
                  <m:r>
                    <m:t>S</m:t>
                  </m:r>
                </m:e>
              </m:nary>
              <m:d>
                <m:dPr>
                  <m:begChr m:val="("/>
                  <m:endChr m:val=")"/>
                  <m:sepChr m:val=""/>
                  <m:grow/>
                </m:dPr>
                <m:e>
                  <m:r>
                    <m:t>u</m:t>
                  </m:r>
                </m:e>
              </m:d>
              <m:r>
                <m:t>d</m:t>
              </m:r>
              <m:r>
                <m:t>u</m:t>
              </m:r>
            </m:num>
            <m:den>
              <m:r>
                <m:t>S</m:t>
              </m:r>
              <m:d>
                <m:dPr>
                  <m:begChr m:val="("/>
                  <m:endChr m:val=")"/>
                  <m:sepChr m:val=""/>
                  <m:grow/>
                </m:dPr>
                <m:e>
                  <m:r>
                    <m:t>t</m:t>
                  </m:r>
                </m:e>
              </m:d>
            </m:den>
          </m:f>
          <m:r>
            <m:rPr>
              <m:sty m:val="p"/>
            </m:rPr>
            <m:t>,</m:t>
          </m:r>
          <m:r>
            <m:t>  </m:t>
          </m:r>
          <m:d>
            <m:dPr>
              <m:begChr m:val="("/>
              <m:endChr m:val=")"/>
              <m:sepChr m:val=""/>
              <m:grow/>
            </m:dPr>
            <m:e>
              <m:r>
                <m:t>1.6</m:t>
              </m:r>
            </m:e>
          </m:d>
        </m:oMath>
      </m:oMathPara>
      <w:bookmarkEnd w:id="34"/>
    </w:p>
    <w:p>
      <w:pPr>
        <w:pStyle w:val="FirstParagraph"/>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5"/>
    <w:bookmarkEnd w:id="36"/>
    <w:bookmarkStart w:id="37"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7"/>
    <w:bookmarkEnd w:id="38"/>
    <w:bookmarkStart w:id="60" w:name="técnicas-não-paramétricas"/>
    <w:p>
      <w:pPr>
        <w:pStyle w:val="Heading1"/>
      </w:pPr>
      <w:r>
        <w:t xml:space="preserve">2. Técnicas Não Paramétricas</w:t>
      </w:r>
    </w:p>
    <w:bookmarkStart w:id="39" w:name="introdução-1"/>
    <w:p>
      <w:pPr>
        <w:pStyle w:val="Heading2"/>
      </w:pPr>
      <w:r>
        <w:t xml:space="preserve">2.1 Introdução</w:t>
      </w:r>
    </w:p>
    <w:p>
      <w:pPr>
        <w:pStyle w:val="FirstParagraph"/>
      </w:pPr>
      <w:r>
        <w:t xml:space="preserve">Este capítulo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9"/>
    <w:bookmarkStart w:id="50" w:name="o-estimador-de-kaplan-meier"/>
    <w:p>
      <w:pPr>
        <w:pStyle w:val="Heading2"/>
      </w:pPr>
      <w:r>
        <w:t xml:space="preserve">2.2 O Estimador de Kaplan-Meier</w:t>
      </w:r>
    </w:p>
    <w:p>
      <w:pPr>
        <w:pStyle w:val="FirstParagraph"/>
      </w:pPr>
      <w:r>
        <w:t xml:space="preserve">Proposto por</w:t>
      </w:r>
      <w:r>
        <w:t xml:space="preserve"> </w:t>
      </w:r>
      <w:r>
        <w:t xml:space="preserve">Kaplan e Meier (1958)</w:t>
      </w:r>
      <w:r>
        <w:t xml:space="preserve">.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40"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40"/>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41"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41"/>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42"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42"/>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(EMV) 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EMV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43"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w:t>
      </w:r>
      <w:r>
        <w:t xml:space="preserve"> </w:t>
      </w:r>
      <w:r>
        <w:t xml:space="preserve">Breslow e Crowley (1974)</w:t>
      </w:r>
      <w:r>
        <w:t xml:space="preserve"> </w:t>
      </w:r>
      <w:r>
        <w:t xml:space="preserve">e</w:t>
      </w:r>
      <w:r>
        <w:t xml:space="preserve"> </w:t>
      </w:r>
      <w:r>
        <w:t xml:space="preserve">Meier (1975)</w:t>
      </w:r>
      <w:r>
        <w:t xml:space="preserve"> </w:t>
      </w:r>
      <w:r>
        <w:t xml:space="preserve">e, no artigo original,</w:t>
      </w:r>
      <w:r>
        <w:t xml:space="preserve"> </w:t>
      </w:r>
      <w:r>
        <w:t xml:space="preserve">Kaplan e Meier (1958)</w:t>
      </w:r>
      <w:r>
        <w:t xml:space="preserve"> </w:t>
      </w:r>
      <w:r>
        <w:t xml:space="preserve">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EMV para</w:t>
      </w:r>
      <w:r>
        <w:t xml:space="preserve"> </w:t>
      </w:r>
      <m:oMath>
        <m:r>
          <m:t>S</m:t>
        </m:r>
        <m:d>
          <m:dPr>
            <m:begChr m:val="("/>
            <m:endChr m:val=")"/>
            <m:sepChr m:val=""/>
            <m:grow/>
          </m:dPr>
          <m:e>
            <m:r>
              <m:t>t</m:t>
            </m:r>
          </m:e>
        </m:d>
      </m:oMath>
      <w:r>
        <w:t xml:space="preserve">, como já dito.</w:t>
      </w:r>
    </w:p>
    <w:bookmarkEnd w:id="43"/>
    <w:bookmarkStart w:id="4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4"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4"/>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w:t>
      </w:r>
      <w:r>
        <w:t xml:space="preserve"> </w:t>
      </w:r>
      <w:r>
        <w:t xml:space="preserve">Kalbfleisch e Prentice (1980)</w:t>
      </w:r>
      <w:r>
        <w:t xml:space="preserve">,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Logo, pode-se aproximar um intervalo com</w:t>
      </w:r>
      <w:r>
        <w:t xml:space="preserve"> </w:t>
      </w:r>
      <m:oMath>
        <m:r>
          <m:t>100</m:t>
        </m:r>
        <m:d>
          <m:dPr>
            <m:begChr m:val="("/>
            <m:endChr m:val=")"/>
            <m:sepChr m:val=""/>
            <m:grow/>
          </m:dPr>
          <m:e>
            <m:r>
              <m:t>1</m:t>
            </m:r>
            <m:r>
              <m:rPr>
                <m:sty m:val="p"/>
              </m:rPr>
              <m:t>−</m:t>
            </m:r>
            <m:r>
              <m:t>α</m:t>
            </m:r>
          </m:e>
        </m:d>
        <m:r>
          <m:rPr>
            <m:sty m:val="p"/>
          </m:rPr>
          <m:t>%</m:t>
        </m:r>
      </m:oMath>
      <w:r>
        <w:t xml:space="preserve"> </w:t>
      </w:r>
      <w:r>
        <w:t xml:space="preserve">de confiança para</w:t>
      </w:r>
      <w:r>
        <w:t xml:space="preserve"> </w:t>
      </w:r>
      <m:oMath>
        <m:r>
          <m:t>S</m:t>
        </m:r>
        <m:d>
          <m:dPr>
            <m:begChr m:val="("/>
            <m:endChr m:val=")"/>
            <m:sepChr m:val=""/>
            <m:grow/>
          </m:dPr>
          <m:e>
            <m:r>
              <m:t>t</m:t>
            </m:r>
          </m:e>
        </m:d>
      </m:oMath>
      <w:r>
        <w:t xml:space="preserve"> </w:t>
      </w:r>
      <w:r>
        <w:t xml:space="preserve">desta forma:</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t</m:t>
                      </m:r>
                    </m:e>
                  </m:d>
                </m:e>
              </m:d>
            </m:e>
            <m:sup>
              <m:r>
                <m:rPr>
                  <m:sty m:val="p"/>
                </m:rPr>
                <m:t>exp</m:t>
              </m:r>
              <m:d>
                <m:dPr>
                  <m:begChr m:val="{"/>
                  <m:endChr m:val="}"/>
                  <m:sepChr m:val=""/>
                  <m:grow/>
                </m:dPr>
                <m:e>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acc>
                            <m:accPr>
                              <m:chr m:val="̂"/>
                            </m:accPr>
                            <m:e>
                              <m:r>
                                <m:t>U</m:t>
                              </m:r>
                            </m:e>
                          </m:acc>
                          <m:d>
                            <m:dPr>
                              <m:begChr m:val="("/>
                              <m:endChr m:val=")"/>
                              <m:sepChr m:val=""/>
                              <m:grow/>
                            </m:dPr>
                            <m:e>
                              <m:r>
                                <m:t>t</m:t>
                              </m:r>
                            </m:e>
                          </m:d>
                        </m:e>
                      </m:d>
                    </m:e>
                  </m:rad>
                </m:e>
              </m:d>
            </m:sup>
          </m:sSup>
          <m:r>
            <m:rPr>
              <m:sty m:val="p"/>
            </m:rPr>
            <m:t>.</m:t>
          </m:r>
        </m:oMath>
      </m:oMathPara>
    </w:p>
    <w:p>
      <w:pPr>
        <w:pStyle w:val="FirstParagraph"/>
      </w:pPr>
      <w:r>
        <w:t xml:space="preserve">Veja uma aplicação do Estimador de Kaplan-Meier. Os dados de Leucemia Pediátrica 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"Fonte: https://docs.ufpr.br/~giolo/asa/dados/leucemia.txt"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8" w:name="fig-SobrKM"/>
          <w:p>
            <w:pPr>
              <w:jc w:val="center"/>
            </w:pPr>
            <w:pPr>
              <w:jc w:val="start"/>
              <w:spacing w:before="200"/>
              <w:pStyle w:val="ImageCaption"/>
            </w:pPr>
            <w:r>
              <w:t xml:space="preserve">Figura 2.1: Curva de Sobrevivência de Kaplan-Meier com IC de 95%</w:t>
            </w:r>
          </w:p>
          <w:p>
            <w:pPr>
              <w:pStyle w:val="Compact"/>
              <w:jc w:val="center"/>
            </w:pPr>
            <w:r>
              <w:drawing>
                <wp:inline>
                  <wp:extent cx="4620126" cy="3696101"/>
                  <wp:effectExtent b="0" l="0" r="0" t="0"/>
                  <wp:docPr descr="" title="" id="46" name="Picture"/>
                  <a:graphic>
                    <a:graphicData uri="http://schemas.openxmlformats.org/drawingml/2006/picture">
                      <pic:pic>
                        <pic:nvPicPr>
                          <pic:cNvPr descr="CII_TEC_N_PARAM_files/figure-docx/fig-SobrKM-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tc>
      </w:tr>
    </w:tbl>
    <w:bookmarkEnd w:id="49"/>
    <w:bookmarkEnd w:id="50"/>
    <w:bookmarkStart w:id="54" w:name="outros-estimadores-não-parâmetricos"/>
    <w:p>
      <w:pPr>
        <w:pStyle w:val="Heading2"/>
      </w:pPr>
      <w:r>
        <w:t xml:space="preserve">2.3 Outros Estimadores Não Parâmetricos</w:t>
      </w:r>
    </w:p>
    <w:p>
      <w:pPr>
        <w:pStyle w:val="FirstParagraph"/>
      </w:pPr>
      <w:r>
        <w:t xml:space="preserve">O estimador de Kaplan-Meier é, indiscutivelmente, o mais utilizado para estimar</w:t>
      </w:r>
      <w:r>
        <w:t xml:space="preserve"> </w:t>
      </w:r>
      <m:oMath>
        <m:r>
          <m:t>S</m:t>
        </m:r>
        <m:d>
          <m:dPr>
            <m:begChr m:val="("/>
            <m:endChr m:val=")"/>
            <m:sepChr m:val=""/>
            <m:grow/>
          </m:dPr>
          <m:e>
            <m:r>
              <m:t>t</m:t>
            </m:r>
          </m:e>
        </m:d>
      </m:oMath>
      <w:r>
        <w:t xml:space="preserve"> </w:t>
      </w:r>
      <w:r>
        <w:t xml:space="preserve">em análises de sobrevivência. Ele é amplamente disponibilizado em diversos pacotes estatísticos e abordado em inúmeros textos de estatística básica. Entretanto, outros dois estimadores de</w:t>
      </w:r>
      <w:r>
        <w:t xml:space="preserve"> </w:t>
      </w:r>
      <m:oMath>
        <m:r>
          <m:t>S</m:t>
        </m:r>
        <m:d>
          <m:dPr>
            <m:begChr m:val="("/>
            <m:endChr m:val=")"/>
            <m:sepChr m:val=""/>
            <m:grow/>
          </m:dPr>
          <m:e>
            <m:r>
              <m:t>t</m:t>
            </m:r>
          </m:e>
        </m:d>
      </m:oMath>
      <w:r>
        <w:t xml:space="preserve"> </w:t>
      </w:r>
      <w:r>
        <w:t xml:space="preserve">também possuem relevância significativa na literatura especializada: o estimador de Nelson-Aalen e o estimador da tabela de vida.</w:t>
      </w:r>
    </w:p>
    <w:p>
      <w:pPr>
        <w:pStyle w:val="BodyText"/>
      </w:pPr>
      <w:r>
        <w:t xml:space="preserve">O estimador de Nelson-Aalen, mais recente que o de Kaplan-Meier, apresenta propriedades similares às deste último. Já o estimador da tabela de vida possui importância histórica, tendo sido utilizado em informações derivadas de censos demográficos para estimar características associadas ao tempo de vida humano. Este estimador foi inicialmente proposto por demógrafos e atuários no final do século XIX, sendo empregado principalmente em grandes amostras.</w:t>
      </w:r>
    </w:p>
    <w:p>
      <w:pPr>
        <w:pStyle w:val="BodyText"/>
      </w:pPr>
      <w:r>
        <w:t xml:space="preserve">Nesta seção será abordado apenas o estimador de Nelson-Aalen. Para conhecer mais sobre o estimador da Tabela de Vida ou Tabela Atuarial, consulte a Seção 2.4.2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bookmarkStart w:id="53" w:name="estimador-de-nelson-aalen"/>
    <w:p>
      <w:pPr>
        <w:pStyle w:val="Heading3"/>
      </w:pPr>
      <w:r>
        <w:t xml:space="preserve">2.3.1 Estimador de Nelson-Aalen</w:t>
      </w:r>
    </w:p>
    <w:p>
      <w:pPr>
        <w:pStyle w:val="FirstParagraph"/>
      </w:pPr>
      <w:r>
        <w:t xml:space="preserve">Mais recente que o estimador de Kaplan-Meier, este estimador se baseia na função de sobrevivência expressa da seguinte forma:</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oMath>
      </m:oMathPara>
    </w:p>
    <w:p>
      <w:pPr>
        <w:pStyle w:val="FirstParagraph"/>
      </w:pPr>
      <w:r>
        <w:t xml:space="preserve">em que</w:t>
      </w:r>
      <w:r>
        <w:t xml:space="preserve"> </w:t>
      </w:r>
      <m:oMath>
        <m:r>
          <m:t>Λ</m:t>
        </m:r>
        <m:d>
          <m:dPr>
            <m:begChr m:val="("/>
            <m:endChr m:val=")"/>
            <m:sepChr m:val=""/>
            <m:grow/>
          </m:dPr>
          <m:e>
            <m:r>
              <m:t>t</m:t>
            </m:r>
          </m:e>
        </m:d>
      </m:oMath>
      <w:r>
        <w:t xml:space="preserve"> </w:t>
      </w:r>
      <w:r>
        <w:t xml:space="preserve">é a função de risco acumulado apresentada na</w:t>
      </w:r>
      <w:r>
        <w:t xml:space="preserve"> </w:t>
      </w:r>
      <w:hyperlink w:anchor="sec-TaxaAcu">
        <w:r>
          <w:rPr>
            <w:rStyle w:val="Hyperlink"/>
          </w:rPr>
          <w:t xml:space="preserve">Seção 1.6.3</w:t>
        </w:r>
      </w:hyperlink>
      <w:r>
        <w:t xml:space="preserve">.</w:t>
      </w:r>
    </w:p>
    <w:p>
      <w:pPr>
        <w:pStyle w:val="BodyText"/>
      </w:pPr>
      <w:r>
        <w:t xml:space="preserve">A estimativa para</w:t>
      </w:r>
      <w:r>
        <w:t xml:space="preserve"> </w:t>
      </w:r>
      <m:oMath>
        <m:r>
          <m:t>Λ</m:t>
        </m:r>
        <m:d>
          <m:dPr>
            <m:begChr m:val="("/>
            <m:endChr m:val=")"/>
            <m:sepChr m:val=""/>
            <m:grow/>
          </m:dPr>
          <m:e>
            <m:r>
              <m:t>t</m:t>
            </m:r>
          </m:e>
        </m:d>
      </m:oMath>
      <w:r>
        <w:t xml:space="preserve"> </w:t>
      </w:r>
      <w:r>
        <w:t xml:space="preserve">foi inicialmente proposta por</w:t>
      </w:r>
      <w:r>
        <w:t xml:space="preserve"> </w:t>
      </w:r>
      <w:r>
        <w:t xml:space="preserve">Nelson (1972)</w:t>
      </w:r>
      <w:r>
        <w:t xml:space="preserve"> </w:t>
      </w:r>
      <w:r>
        <w:t xml:space="preserve">posteriormente retomada por</w:t>
      </w:r>
      <w:r>
        <w:t xml:space="preserve"> </w:t>
      </w:r>
      <w:r>
        <w:t xml:space="preserve">Aalen (1978)</w:t>
      </w:r>
      <w:r>
        <w:t xml:space="preserve"> </w:t>
      </w:r>
      <w:r>
        <w:t xml:space="preserve">que demonstrou suas propriedades assintóticas utilizando processos de contagem. Na literatura, esse estimador é amplamente conhecido como o estimador de Nelson-Aalen e é definido pela seguinte expressão:</w:t>
      </w:r>
    </w:p>
    <w:p>
      <w:pPr>
        <w:pStyle w:val="BodyText"/>
      </w:pPr>
      <w:bookmarkStart w:id="51" w:name="eq-ESTNelsonAalen"/>
      <m:oMathPara>
        <m:oMathParaPr>
          <m:jc m:val="center"/>
        </m:oMathParaPr>
        <m:oMath>
          <m:acc>
            <m:accPr>
              <m:chr m:val="̂"/>
            </m:accPr>
            <m:e>
              <m:r>
                <m:t>Λ</m:t>
              </m:r>
            </m:e>
          </m:acc>
          <m:d>
            <m:dPr>
              <m:begChr m:val="("/>
              <m:endChr m:val=")"/>
              <m:sepChr m:val=""/>
              <m:grow/>
            </m:dPr>
            <m:e>
              <m:r>
                <m:t>t</m:t>
              </m:r>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
                        <m:e>
                          <m:r>
                            <m:t>n</m:t>
                          </m:r>
                        </m:e>
                        <m:sub>
                          <m:r>
                            <m:t>j</m:t>
                          </m:r>
                        </m:sub>
                      </m:sSub>
                    </m:den>
                  </m:f>
                </m:e>
              </m:d>
            </m:e>
          </m:nary>
          <m:r>
            <m:rPr>
              <m:sty m:val="p"/>
            </m:rPr>
            <m:t>,</m:t>
          </m:r>
          <m:r>
            <m:t>  </m:t>
          </m:r>
          <m:d>
            <m:dPr>
              <m:begChr m:val="("/>
              <m:endChr m:val=")"/>
              <m:sepChr m:val=""/>
              <m:grow/>
            </m:dPr>
            <m:e>
              <m:r>
                <m:t>2.5</m:t>
              </m:r>
            </m:e>
          </m:d>
        </m:oMath>
      </m:oMathPara>
      <w:bookmarkEnd w:id="51"/>
    </w:p>
    <w:p>
      <w:pPr>
        <w:pStyle w:val="FirstParagraph"/>
      </w:pPr>
      <w:r>
        <w:t xml:space="preserve">onde</w:t>
      </w:r>
      <w:r>
        <w:t xml:space="preserve"> </w:t>
      </w:r>
      <m:oMath>
        <m:sSub>
          <m:e>
            <m:r>
              <m:t>d</m:t>
            </m:r>
          </m:e>
          <m:sub>
            <m:r>
              <m:t>j</m:t>
            </m:r>
          </m:sub>
        </m:sSub>
      </m:oMath>
      <w:r>
        <w:t xml:space="preserve"> </w:t>
      </w:r>
      <w:r>
        <w:t xml:space="preserve">e</w:t>
      </w:r>
      <w:r>
        <w:t xml:space="preserve"> </w:t>
      </w:r>
      <m:oMath>
        <m:sSub>
          <m:e>
            <m:r>
              <m:t>n</m:t>
            </m:r>
          </m:e>
          <m:sub>
            <m:r>
              <m:t>j</m:t>
            </m:r>
          </m:sub>
        </m:sSub>
      </m:oMath>
      <w:r>
        <w:t xml:space="preserve"> </w:t>
      </w:r>
      <w:r>
        <w:t xml:space="preserve">são as mesmas definições usadas no estimador de Kaplan-Meier. A variância do estimador, conforme proposta por</w:t>
      </w:r>
      <w:r>
        <w:t xml:space="preserve"> </w:t>
      </w:r>
      <w:r>
        <w:t xml:space="preserve">Aalen (1978)</w:t>
      </w:r>
      <w:r>
        <w:t xml:space="preserve">, é dada por:</w:t>
      </w:r>
    </w:p>
    <w:p>
      <w:pPr>
        <w:pStyle w:val="BodyText"/>
      </w:pPr>
      <w:bookmarkStart w:id="52" w:name="eq-VarNelsonAalen"/>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r>
            <m:rPr>
              <m:sty m:val="p"/>
            </m:rPr>
            <m:t>.</m:t>
          </m:r>
          <m:r>
            <m:t>  </m:t>
          </m:r>
          <m:d>
            <m:dPr>
              <m:begChr m:val="("/>
              <m:endChr m:val=")"/>
              <m:sepChr m:val=""/>
              <m:grow/>
            </m:dPr>
            <m:e>
              <m:r>
                <m:t>2.6</m:t>
              </m:r>
            </m:e>
          </m:d>
        </m:oMath>
      </m:oMathPara>
      <w:bookmarkEnd w:id="52"/>
    </w:p>
    <w:p>
      <w:pPr>
        <w:pStyle w:val="FirstParagraph"/>
      </w:pPr>
      <w:r>
        <w:t xml:space="preserve">Uma alternativa para a estimativa da variância de</w:t>
      </w:r>
      <w:r>
        <w:t xml:space="preserve"> </w:t>
      </w:r>
      <m:oMath>
        <m:acc>
          <m:accPr>
            <m:chr m:val="̂"/>
          </m:accPr>
          <m:e>
            <m:r>
              <m:t>Λ</m:t>
            </m:r>
          </m:e>
        </m:acc>
        <m:d>
          <m:dPr>
            <m:begChr m:val="("/>
            <m:endChr m:val=")"/>
            <m:sepChr m:val=""/>
            <m:grow/>
          </m:dPr>
          <m:e>
            <m:r>
              <m:t>t</m:t>
            </m:r>
          </m:e>
        </m:d>
      </m:oMath>
      <w:r>
        <w:t xml:space="preserve">, proposta por</w:t>
      </w:r>
      <w:r>
        <w:t xml:space="preserve"> </w:t>
      </w:r>
      <w:r>
        <w:t xml:space="preserve">Klein (1991)</w:t>
      </w:r>
      <w:r>
        <w:t xml:space="preserve">, é:</w:t>
      </w:r>
    </w:p>
    <w:p>
      <w:pPr>
        <w:pStyle w:val="BodyText"/>
      </w:pPr>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f>
                <m:fPr>
                  <m:type m:val="bar"/>
                </m:fPr>
                <m:num>
                  <m:d>
                    <m:dPr>
                      <m:begChr m:val="("/>
                      <m:endChr m:val=")"/>
                      <m:sepChr m:val=""/>
                      <m:grow/>
                    </m:dPr>
                    <m:e>
                      <m:sSub>
                        <m:e>
                          <m:r>
                            <m:t>n</m:t>
                          </m:r>
                        </m:e>
                        <m:sub>
                          <m:r>
                            <m:t>j</m:t>
                          </m:r>
                        </m:sub>
                      </m:sSub>
                      <m:r>
                        <m:rPr>
                          <m:sty m:val="p"/>
                        </m:rPr>
                        <m:t>−</m:t>
                      </m:r>
                      <m:sSub>
                        <m:e>
                          <m:r>
                            <m:t>d</m:t>
                          </m:r>
                        </m:e>
                        <m:sub>
                          <m:r>
                            <m:t>j</m:t>
                          </m:r>
                        </m:sub>
                      </m:sSub>
                    </m:e>
                  </m:d>
                  <m:sSub>
                    <m:e>
                      <m:r>
                        <m:t>d</m:t>
                      </m:r>
                    </m:e>
                    <m:sub>
                      <m:r>
                        <m:t>j</m:t>
                      </m:r>
                    </m:sub>
                  </m:sSub>
                </m:num>
                <m:den>
                  <m:sSubSup>
                    <m:e>
                      <m:r>
                        <m:t>n</m:t>
                      </m:r>
                    </m:e>
                    <m:sub>
                      <m:r>
                        <m:t>j</m:t>
                      </m:r>
                    </m:sub>
                    <m:sup>
                      <m:r>
                        <m:t>3</m:t>
                      </m:r>
                    </m:sup>
                  </m:sSubSup>
                </m:den>
              </m:f>
            </m:e>
          </m:nary>
          <m:r>
            <m:rPr>
              <m:sty m:val="p"/>
            </m:rPr>
            <m:t>,</m:t>
          </m:r>
        </m:oMath>
      </m:oMathPara>
    </w:p>
    <w:p>
      <w:pPr>
        <w:pStyle w:val="FirstParagraph"/>
      </w:pPr>
      <w:r>
        <w:t xml:space="preserve">entretanto, o estimador da</w:t>
      </w:r>
      <w:r>
        <w:t xml:space="preserve"> </w:t>
      </w:r>
      <w:hyperlink w:anchor="eq-VarNelsonAalen">
        <w:r>
          <w:rPr>
            <w:rStyle w:val="Hyperlink"/>
          </w:rPr>
          <w:t xml:space="preserve">Equação 2.6</w:t>
        </w:r>
      </w:hyperlink>
      <w:r>
        <w:t xml:space="preserve"> </w:t>
      </w:r>
      <w:r>
        <w:t xml:space="preserve">apresenta menor vício, tornando-o mais preferível que o proposto por</w:t>
      </w:r>
      <w:r>
        <w:t xml:space="preserve"> </w:t>
      </w:r>
      <w:r>
        <w:t xml:space="preserve">Klein (1991)</w:t>
      </w:r>
      <w:r>
        <w:t xml:space="preserve">.</w:t>
      </w:r>
    </w:p>
    <w:p>
      <w:pPr>
        <w:pStyle w:val="BodyText"/>
      </w:pPr>
      <w:r>
        <w:t xml:space="preserve">Desta forma, podemos definir, com base no estimador de Nelson-Aalen, um estimador para a função de sobrevivência, podendo ser expressa por:</w:t>
      </w:r>
    </w:p>
    <w:p>
      <w:pPr>
        <w:pStyle w:val="BodyText"/>
      </w:pPr>
      <m:oMathPara>
        <m:oMathParaPr>
          <m:jc m:val="center"/>
        </m:oMathParaPr>
        <m:oMath>
          <m:sSub>
            <m:e>
              <m:acc>
                <m:accPr>
                  <m:chr m:val="̂"/>
                </m:accPr>
                <m:e>
                  <m:r>
                    <m:t>S</m:t>
                  </m:r>
                </m:e>
              </m:acc>
            </m:e>
            <m:sub>
              <m:r>
                <m:t>N</m:t>
              </m:r>
              <m:r>
                <m:t>A</m:t>
              </m:r>
            </m:sub>
          </m:sSub>
          <m:d>
            <m:dPr>
              <m:begChr m:val="("/>
              <m:endChr m:val=")"/>
              <m:sepChr m:val=""/>
              <m:grow/>
            </m:dPr>
            <m:e>
              <m:r>
                <m:t>t</m:t>
              </m:r>
            </m:e>
          </m:d>
          <m:r>
            <m:rPr>
              <m:sty m:val="p"/>
            </m:rPr>
            <m:t>=</m:t>
          </m:r>
          <m:r>
            <m:rPr>
              <m:sty m:val="p"/>
            </m:rPr>
            <m:t>exp</m:t>
          </m:r>
          <m:d>
            <m:dPr>
              <m:begChr m:val="{"/>
              <m:endChr m:val="}"/>
              <m:sepChr m:val=""/>
              <m:grow/>
            </m:dPr>
            <m:e>
              <m:r>
                <m:rPr>
                  <m:sty m:val="p"/>
                </m:rPr>
                <m:t>−</m:t>
              </m:r>
              <m:acc>
                <m:accPr>
                  <m:chr m:val="̂"/>
                </m:accPr>
                <m:e>
                  <m:r>
                    <m:t>Λ</m:t>
                  </m:r>
                </m:e>
              </m:acc>
              <m:d>
                <m:dPr>
                  <m:begChr m:val="("/>
                  <m:endChr m:val=")"/>
                  <m:sepChr m:val=""/>
                  <m:grow/>
                </m:dPr>
                <m:e>
                  <m:r>
                    <m:t>t</m:t>
                  </m:r>
                </m:e>
              </m:d>
            </m:e>
          </m:d>
          <m:r>
            <m:rPr>
              <m:sty m:val="p"/>
            </m:rPr>
            <m:t>.</m:t>
          </m:r>
        </m:oMath>
      </m:oMathPara>
    </w:p>
    <w:p>
      <w:pPr>
        <w:pStyle w:val="FirstParagraph"/>
      </w:pPr>
      <w:r>
        <w:t xml:space="preserve">Deve-se, a variância deste estimador, a</w:t>
      </w:r>
      <w:r>
        <w:t xml:space="preserve"> </w:t>
      </w:r>
      <w:r>
        <w:t xml:space="preserve">Aalen e Johansen (1978)</w:t>
      </w:r>
      <w:r>
        <w:t xml:space="preserve">. Podendo ser mensurada pela expressão:</w:t>
      </w:r>
    </w:p>
    <w:p>
      <w:pPr>
        <w:pStyle w:val="BodyText"/>
      </w:pPr>
      <m:oMathPara>
        <m:oMathParaPr>
          <m:jc m:val="center"/>
        </m:oMathParaPr>
        <m:oMath>
          <m:acc>
            <m:accPr>
              <m:chr m:val="̂"/>
            </m:accPr>
            <m:e>
              <m:r>
                <m:t>V</m:t>
              </m:r>
              <m:r>
                <m:t>a</m:t>
              </m:r>
              <m:r>
                <m:t>r</m:t>
              </m:r>
            </m:e>
          </m:acc>
          <m:d>
            <m:dPr>
              <m:begChr m:val="("/>
              <m:endChr m:val=")"/>
              <m:sepChr m:val=""/>
              <m:grow/>
            </m:dPr>
            <m:e>
              <m:sSub>
                <m:e>
                  <m:acc>
                    <m:accPr>
                      <m:chr m:val="̂"/>
                    </m:accPr>
                    <m:e>
                      <m:r>
                        <m:t>S</m:t>
                      </m:r>
                    </m:e>
                  </m:acc>
                </m:e>
                <m:sub>
                  <m:r>
                    <m:t>N</m:t>
                  </m:r>
                  <m:r>
                    <m:t>A</m:t>
                  </m:r>
                </m:sub>
              </m:sSub>
              <m:d>
                <m:dPr>
                  <m:begChr m:val="("/>
                  <m:endChr m:val=")"/>
                  <m:sepChr m:val=""/>
                  <m:grow/>
                </m:dPr>
                <m:e>
                  <m:r>
                    <m:t>t</m:t>
                  </m:r>
                </m:e>
              </m:d>
            </m:e>
          </m:d>
          <m:r>
            <m:rPr>
              <m:sty m:val="p"/>
            </m:rPr>
            <m:t>=</m:t>
          </m:r>
          <m:sSup>
            <m:e>
              <m:d>
                <m:dPr>
                  <m:begChr m:val="["/>
                  <m:endChr m:val="]"/>
                  <m:sepChr m:val=""/>
                  <m:grow/>
                </m:dPr>
                <m:e>
                  <m:sSub>
                    <m:e>
                      <m:acc>
                        <m:accPr>
                          <m:chr m:val="̂"/>
                        </m:accPr>
                        <m:e>
                          <m:r>
                            <m:t>S</m:t>
                          </m:r>
                        </m:e>
                      </m:acc>
                    </m:e>
                    <m:sub>
                      <m:r>
                        <m:t>N</m:t>
                      </m:r>
                      <m:r>
                        <m:t>A</m:t>
                      </m:r>
                    </m:sub>
                  </m:sSub>
                  <m:d>
                    <m:dPr>
                      <m:begChr m:val="("/>
                      <m:endChr m:val=")"/>
                      <m:sepChr m:val=""/>
                      <m:grow/>
                    </m:dPr>
                    <m:e>
                      <m:r>
                        <m:t>t</m:t>
                      </m:r>
                    </m:e>
                  </m:d>
                </m:e>
              </m:d>
            </m:e>
            <m:sup>
              <m:r>
                <m:t>2</m:t>
              </m:r>
            </m:sup>
          </m:sSup>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oMath>
      </m:oMathPara>
    </w:p>
    <w:p>
      <w:pPr>
        <w:pStyle w:val="FirstParagraph"/>
      </w:pPr>
      <w:r>
        <w:t xml:space="preserve">Vale destacar que o estimador de Nelson-Aalen aprenseta, na maioria dos casos, estimativas próximas ao estimador de Kaplan-Meier.</w:t>
      </w:r>
      <w:r>
        <w:t xml:space="preserve"> </w:t>
      </w:r>
      <w:r>
        <w:t xml:space="preserve">Bohoris (1994)</w:t>
      </w:r>
      <w:r>
        <w:t xml:space="preserve"> </w:t>
      </w:r>
      <w:r>
        <w:t xml:space="preserve">mostrou que</w:t>
      </w:r>
      <w:r>
        <w:t xml:space="preserve"> </w:t>
      </w:r>
      <m:oMath>
        <m:sSub>
          <m:e>
            <m:acc>
              <m:accPr>
                <m:chr m:val="̂"/>
              </m:accPr>
              <m:e>
                <m:r>
                  <m:t>S</m:t>
                </m:r>
              </m:e>
            </m:acc>
          </m:e>
          <m:sub>
            <m:r>
              <m:t>N</m:t>
            </m:r>
            <m:r>
              <m:t>A</m:t>
            </m:r>
          </m:sub>
        </m:sSub>
        <m:d>
          <m:dPr>
            <m:begChr m:val="("/>
            <m:endChr m:val=")"/>
            <m:sepChr m:val=""/>
            <m:grow/>
          </m:dPr>
          <m:e>
            <m:r>
              <m:t>t</m:t>
            </m:r>
          </m:e>
        </m:d>
        <m:r>
          <m:rPr>
            <m:sty m:val="p"/>
          </m:rPr>
          <m:t>≥</m:t>
        </m:r>
        <m:sSub>
          <m:e>
            <m:acc>
              <m:accPr>
                <m:chr m:val="̂"/>
              </m:accPr>
              <m:e>
                <m:r>
                  <m:t>S</m:t>
                </m:r>
              </m:e>
            </m:acc>
          </m:e>
          <m:sub>
            <m:r>
              <m:t>K</m:t>
            </m:r>
            <m:r>
              <m:t>M</m:t>
            </m:r>
          </m:sub>
        </m:sSub>
        <m:d>
          <m:dPr>
            <m:begChr m:val="("/>
            <m:endChr m:val=")"/>
            <m:sepChr m:val=""/>
            <m:grow/>
          </m:dPr>
          <m:e>
            <m:r>
              <m:t>t</m:t>
            </m:r>
          </m:e>
        </m:d>
      </m:oMath>
      <w:r>
        <w:t xml:space="preserve"> </w:t>
      </w:r>
      <w:r>
        <w:t xml:space="preserve">para todo</w:t>
      </w:r>
      <w:r>
        <w:t xml:space="preserve"> </w:t>
      </w:r>
      <m:oMath>
        <m:r>
          <m:t>t</m:t>
        </m:r>
      </m:oMath>
      <w:r>
        <w:t xml:space="preserve">, isto é, as estimativas obtidas pelo estimador de Nelson-Aalen são maiores ou iguais às estimativas obtidas pelo estimador de Kaplan-Meier.</w:t>
      </w:r>
    </w:p>
    <w:bookmarkEnd w:id="53"/>
    <w:bookmarkEnd w:id="54"/>
    <w:bookmarkStart w:id="59" w:name="comparação-de-curvas-de-sobrevivência"/>
    <w:p>
      <w:pPr>
        <w:pStyle w:val="Heading2"/>
      </w:pPr>
      <w:r>
        <w:t xml:space="preserve">2.4 Comparação de Curvas de Sobrevivência</w:t>
      </w:r>
    </w:p>
    <w:p>
      <w:pPr>
        <w:pStyle w:val="FirstParagraph"/>
      </w:pPr>
      <w:r>
        <w:t xml:space="preserve">Considere um problema na área da saúde em que se deseja comparar dois grupos: um que receberá tratamento com uma determinada droga e outro que será o grupo controle. Estatísticas amplamente utilizadas para esse fim podem ser vistas como generalizações, para dados censurados, de testes não paramétricos bem conhecidos. Entre esses, o teste</w:t>
      </w:r>
      <w:r>
        <w:t xml:space="preserve"> </w:t>
      </w:r>
      <w:r>
        <w:rPr>
          <w:i/>
          <w:iCs/>
        </w:rPr>
        <w:t xml:space="preserve">logrank</w:t>
      </w:r>
      <w:r>
        <w:t xml:space="preserve"> </w:t>
      </w:r>
      <w:r>
        <w:t xml:space="preserve">(Mantel 1966)</w:t>
      </w:r>
      <w:r>
        <w:t xml:space="preserve"> </w:t>
      </w:r>
      <w:r>
        <w:t xml:space="preserve">é o mais empregado em análises de sobrevivência.</w:t>
      </w:r>
      <w:r>
        <w:t xml:space="preserve"> </w:t>
      </w:r>
      <w:r>
        <w:t xml:space="preserve">Gehan (1965)</w:t>
      </w:r>
      <w:r>
        <w:t xml:space="preserve"> </w:t>
      </w:r>
      <w:r>
        <w:t xml:space="preserve">propôs uma generalização para a estatística de Wilcoxon. Outras generalizações foram introduzidas por autores como</w:t>
      </w:r>
      <w:r>
        <w:t xml:space="preserve"> </w:t>
      </w:r>
      <w:r>
        <w:t xml:space="preserve">Peto e Peto (1972)</w:t>
      </w:r>
      <w:r>
        <w:t xml:space="preserve"> </w:t>
      </w:r>
      <w:r>
        <w:t xml:space="preserve">e</w:t>
      </w:r>
      <w:r>
        <w:t xml:space="preserve"> </w:t>
      </w:r>
      <w:r>
        <w:t xml:space="preserve">Prentice (1978)</w:t>
      </w:r>
      <w:r>
        <w:t xml:space="preserve">, enquanto</w:t>
      </w:r>
      <w:r>
        <w:t xml:space="preserve"> </w:t>
      </w:r>
      <w:r>
        <w:t xml:space="preserve">Latta (1981)</w:t>
      </w:r>
      <w:r>
        <w:t xml:space="preserve"> </w:t>
      </w:r>
      <w:r>
        <w:t xml:space="preserve">utilizou simulações de Monte Carlo para comparar diversos testes não-paramétricos.</w:t>
      </w:r>
    </w:p>
    <w:p>
      <w:pPr>
        <w:pStyle w:val="BodyText"/>
      </w:pPr>
      <w:r>
        <w:t xml:space="preserve">Nesta seção, será dada ênfase ao teste</w:t>
      </w:r>
      <w:r>
        <w:t xml:space="preserve"> </w:t>
      </w:r>
      <w:r>
        <w:rPr>
          <w:i/>
          <w:iCs/>
        </w:rPr>
        <w:t xml:space="preserve">logrank</w:t>
      </w:r>
      <w:r>
        <w:t xml:space="preserve">, amplamente utilizado em análises de sobrevivência e particularmente adequado quando a razão entre as funções de risco dos grupos a serem comparados é aproximadamente constante. Ou seja, quando as populações apresentam a propriedade de riscos proporcionais.</w:t>
      </w:r>
    </w:p>
    <w:p>
      <w:pPr>
        <w:pStyle w:val="BodyText"/>
      </w:pPr>
      <w:r>
        <w:t xml:space="preserve">A estatística do teste</w:t>
      </w:r>
      <w:r>
        <w:t xml:space="preserve"> </w:t>
      </w:r>
      <w:r>
        <w:rPr>
          <w:i/>
          <w:iCs/>
        </w:rPr>
        <w:t xml:space="preserve">logrank</w:t>
      </w:r>
      <w:r>
        <w:t xml:space="preserve"> </w:t>
      </w:r>
      <w:r>
        <w:t xml:space="preserve">baseia-se na diferença entre o número observado de falhas em cada grupo e o número esperado de falhas sob a hipótese nula. Essa abordagem é semelhante à do teste de</w:t>
      </w:r>
      <w:r>
        <w:t xml:space="preserve"> </w:t>
      </w:r>
      <w:r>
        <w:t xml:space="preserve">Mantel e Haenszel (1959)</w:t>
      </w:r>
      <w:r>
        <w:t xml:space="preserve">, que combina tabelas de contingência. Além disso, o teste</w:t>
      </w:r>
      <w:r>
        <w:t xml:space="preserve"> </w:t>
      </w:r>
      <w:r>
        <w:rPr>
          <w:i/>
          <w:iCs/>
        </w:rPr>
        <w:t xml:space="preserve">logrank</w:t>
      </w:r>
      <w:r>
        <w:t xml:space="preserve"> </w:t>
      </w:r>
      <w:r>
        <w:t xml:space="preserve">possui a mesma expressão do teste de escore para o modelo de regressão de Cox, que será apresentado no […]. Outros testes também serão discutidos nesta seção.</w:t>
      </w:r>
    </w:p>
    <w:p>
      <w:pPr>
        <w:pStyle w:val="BodyText"/>
      </w:pPr>
      <w:r>
        <w:t xml:space="preserve">Considere, inicialmente, o teste de igualdade entre duas funções de sobrevivência</w:t>
      </w:r>
      <w:r>
        <w:t xml:space="preserve"> </w:t>
      </w:r>
      <m:oMath>
        <m:sSub>
          <m:e>
            <m:r>
              <m:t>S</m:t>
            </m:r>
          </m:e>
          <m:sub>
            <m:r>
              <m:t>1</m:t>
            </m:r>
          </m:sub>
        </m:sSub>
        <m:d>
          <m:dPr>
            <m:begChr m:val="("/>
            <m:endChr m:val=")"/>
            <m:sepChr m:val=""/>
            <m:grow/>
          </m:dPr>
          <m:e>
            <m:r>
              <m:t>t</m:t>
            </m:r>
          </m:e>
        </m:d>
      </m:oMath>
      <w:r>
        <w:t xml:space="preserve"> </w:t>
      </w:r>
      <w:r>
        <w:t xml:space="preserve">e</w:t>
      </w:r>
      <w:r>
        <w:t xml:space="preserve"> </w:t>
      </w:r>
      <m:oMath>
        <m:sSub>
          <m:e>
            <m:r>
              <m:t>S</m:t>
            </m:r>
          </m:e>
          <m:sub>
            <m:r>
              <m:t>2</m:t>
            </m:r>
          </m:sub>
        </m:sSub>
        <m:d>
          <m:dPr>
            <m:begChr m:val="("/>
            <m:endChr m:val=")"/>
            <m:sepChr m:val=""/>
            <m:grow/>
          </m:dPr>
          <m:e>
            <m:r>
              <m:t>t</m:t>
            </m:r>
          </m:e>
        </m:d>
      </m:oMath>
      <w:r>
        <w:t xml:space="preserve">. Seja</w:t>
      </w:r>
      <w:r>
        <w:t xml:space="preserve"> </w:t>
      </w:r>
      <m:oMath>
        <m:sSub>
          <m:e>
            <m:r>
              <m:t>t</m:t>
            </m:r>
          </m:e>
          <m:sub>
            <m:r>
              <m:t>1</m:t>
            </m:r>
          </m:sub>
        </m:sSub>
        <m:r>
          <m:rPr>
            <m:sty m:val="p"/>
          </m:rPr>
          <m:t>&lt;</m:t>
        </m:r>
        <m:sSub>
          <m:e>
            <m:r>
              <m:t>t</m:t>
            </m:r>
          </m:e>
          <m:sub>
            <m:r>
              <m:t>2</m:t>
            </m:r>
          </m:sub>
        </m:sSub>
        <m:r>
          <m:rPr>
            <m:sty m:val="p"/>
          </m:rPr>
          <m:t>&lt;</m:t>
        </m:r>
        <m:r>
          <m:rPr>
            <m:sty m:val="p"/>
          </m:rPr>
          <m:t>…</m:t>
        </m:r>
        <m:r>
          <m:rPr>
            <m:sty m:val="p"/>
          </m:rPr>
          <m:t>&lt;</m:t>
        </m:r>
        <m:sSub>
          <m:e>
            <m:r>
              <m:t>t</m:t>
            </m:r>
          </m:e>
          <m:sub>
            <m:r>
              <m:t>k</m:t>
            </m:r>
          </m:sub>
        </m:sSub>
      </m:oMath>
      <w:r>
        <w:t xml:space="preserve"> </w:t>
      </w:r>
      <w:r>
        <w:t xml:space="preserve">a sequência dos tempos de falha distintos observados na amostra combinada, formada pela união das duas amostras individuais. Suponha que, no tempo</w:t>
      </w:r>
      <w:r>
        <w:t xml:space="preserve"> </w:t>
      </w:r>
      <m:oMath>
        <m:sSub>
          <m:e>
            <m:r>
              <m:t>t</m:t>
            </m:r>
          </m:e>
          <m:sub>
            <m:r>
              <m:t>j</m:t>
            </m:r>
          </m:sub>
        </m:sSub>
      </m:oMath>
      <w:r>
        <w:t xml:space="preserve">, ocorram</w:t>
      </w:r>
      <w:r>
        <w:t xml:space="preserve"> </w:t>
      </w:r>
      <m:oMath>
        <m:sSub>
          <m:e>
            <m:r>
              <m:t>d</m:t>
            </m:r>
          </m:e>
          <m:sub>
            <m:r>
              <m:t>j</m:t>
            </m:r>
          </m:sub>
        </m:sSub>
      </m:oMath>
      <w:r>
        <w:t xml:space="preserve"> </w:t>
      </w:r>
      <w:r>
        <w:t xml:space="preserve">falhas e que</w:t>
      </w:r>
      <w:r>
        <w:t xml:space="preserve"> </w:t>
      </w:r>
      <m:oMath>
        <m:sSub>
          <m:e>
            <m:r>
              <m:t>n</m:t>
            </m:r>
          </m:e>
          <m:sub>
            <m:r>
              <m:t>j</m:t>
            </m:r>
          </m:sub>
        </m:sSub>
      </m:oMath>
      <w:r>
        <w:t xml:space="preserve"> </w:t>
      </w:r>
      <w:r>
        <w:t xml:space="preserve">indivíduos estejam sob risco imediatamente antes de</w:t>
      </w:r>
      <w:r>
        <w:t xml:space="preserve"> </w:t>
      </w:r>
      <m:oMath>
        <m:sSub>
          <m:e>
            <m:r>
              <m:t>t</m:t>
            </m:r>
          </m:e>
          <m:sub>
            <m:r>
              <m:t>j</m:t>
            </m:r>
          </m:sub>
        </m:sSub>
      </m:oMath>
      <w:r>
        <w:t xml:space="preserve"> </w:t>
      </w:r>
      <w:r>
        <w:t xml:space="preserve">na amostra combinada. Nas amostras individuais, as quantidades correspondentes são</w:t>
      </w:r>
      <w:r>
        <w:t xml:space="preserve"> </w:t>
      </w:r>
      <m:oMath>
        <m:sSub>
          <m:e>
            <m:r>
              <m:t>d</m:t>
            </m:r>
          </m:e>
          <m:sub>
            <m:r>
              <m:t>i</m:t>
            </m:r>
            <m:r>
              <m:t>j</m:t>
            </m:r>
          </m:sub>
        </m:sSub>
      </m:oMath>
      <w:r>
        <w:t xml:space="preserve"> </w:t>
      </w:r>
      <w:r>
        <w:t xml:space="preserve">e</w:t>
      </w:r>
      <w:r>
        <w:t xml:space="preserve"> </w:t>
      </w:r>
      <m:oMath>
        <m:sSub>
          <m:e>
            <m:r>
              <m:t>n</m:t>
            </m:r>
          </m:e>
          <m:sub>
            <m:r>
              <m:t>i</m:t>
            </m:r>
            <m:r>
              <m:t>j</m:t>
            </m:r>
          </m:sub>
        </m:sSub>
      </m:oMath>
      <w:r>
        <w:t xml:space="preserve">, onde</w:t>
      </w:r>
      <w:r>
        <w:t xml:space="preserve"> </w:t>
      </w:r>
      <m:oMath>
        <m:r>
          <m:t>i</m:t>
        </m:r>
        <m:r>
          <m:rPr>
            <m:sty m:val="p"/>
          </m:rPr>
          <m:t>=</m:t>
        </m:r>
        <m:r>
          <m:t>1</m:t>
        </m:r>
        <m:r>
          <m:rPr>
            <m:sty m:val="p"/>
          </m:rPr>
          <m:t>,</m:t>
        </m:r>
        <m:r>
          <m:t>2</m:t>
        </m:r>
      </m:oMath>
      <w:r>
        <w:t xml:space="preserve"> </w:t>
      </w:r>
      <w:r>
        <w:t xml:space="preserve">representa o grupo e</w:t>
      </w:r>
      <w:r>
        <w:t xml:space="preserve"> </w:t>
      </w:r>
      <m:oMath>
        <m:r>
          <m:t>j</m:t>
        </m:r>
        <m:r>
          <m:rPr>
            <m:sty m:val="p"/>
          </m:rPr>
          <m:t>=</m:t>
        </m:r>
        <m:r>
          <m:t>1</m:t>
        </m:r>
        <m:r>
          <m:rPr>
            <m:sty m:val="p"/>
          </m:rPr>
          <m:t>,</m:t>
        </m:r>
        <m:r>
          <m:rPr>
            <m:sty m:val="p"/>
          </m:rPr>
          <m:t>⋯</m:t>
        </m:r>
        <m:r>
          <m:rPr>
            <m:sty m:val="p"/>
          </m:rPr>
          <m:t>,</m:t>
        </m:r>
        <m:r>
          <m:t>k</m:t>
        </m:r>
      </m:oMath>
      <w:r>
        <w:t xml:space="preserve"> </w:t>
      </w:r>
      <w:r>
        <w:t xml:space="preserve">indica o tempo de falha.</w:t>
      </w:r>
    </w:p>
    <w:p>
      <w:pPr>
        <w:pStyle w:val="BodyText"/>
      </w:pPr>
      <w:r>
        <w:t xml:space="preserve">No tempo</w:t>
      </w:r>
      <w:r>
        <w:t xml:space="preserve"> </w:t>
      </w:r>
      <m:oMath>
        <m:sSub>
          <m:e>
            <m:r>
              <m:t>t</m:t>
            </m:r>
          </m:e>
          <m:sub>
            <m:r>
              <m:t>j</m:t>
            </m:r>
          </m:sub>
        </m:sSub>
      </m:oMath>
      <w:r>
        <w:t xml:space="preserve">, os dados podem ser organizados em uma tabela de contingência</w:t>
      </w:r>
      <w:r>
        <w:t xml:space="preserve"> </w:t>
      </w:r>
      <m:oMath>
        <m:r>
          <m:t>2</m:t>
        </m:r>
        <m:r>
          <m:rPr>
            <m:sty m:val="p"/>
          </m:rPr>
          <m:t>×</m:t>
        </m:r>
        <m:r>
          <m:t>2</m:t>
        </m:r>
      </m:oMath>
      <w:r>
        <w:t xml:space="preserve">, onde</w:t>
      </w:r>
      <w:r>
        <w:t xml:space="preserve"> </w:t>
      </w:r>
      <m:oMath>
        <m:sSub>
          <m:e>
            <m:r>
              <m:t>d</m:t>
            </m:r>
          </m:e>
          <m:sub>
            <m:r>
              <m:t>i</m:t>
            </m:r>
            <m:r>
              <m:t>j</m:t>
            </m:r>
          </m:sub>
        </m:sSub>
      </m:oMath>
      <w:r>
        <w:t xml:space="preserve"> </w:t>
      </w:r>
      <w:r>
        <w:t xml:space="preserve">representa o número de falhas e</w:t>
      </w:r>
      <w:r>
        <w:t xml:space="preserve"> </w:t>
      </w:r>
      <m:oMath>
        <m:sSub>
          <m:e>
            <m:r>
              <m:t>n</m:t>
            </m:r>
          </m:e>
          <m:sub>
            <m:r>
              <m:t>i</m:t>
            </m:r>
            <m:r>
              <m:t>j</m:t>
            </m:r>
          </m:sub>
        </m:sSub>
        <m:r>
          <m:rPr>
            <m:sty m:val="p"/>
          </m:rPr>
          <m:t>−</m:t>
        </m:r>
        <m:sSub>
          <m:e>
            <m:r>
              <m:t>d</m:t>
            </m:r>
          </m:e>
          <m:sub>
            <m:r>
              <m:t>i</m:t>
            </m:r>
            <m:r>
              <m:t>j</m:t>
            </m:r>
          </m:sub>
        </m:sSub>
      </m:oMath>
      <w:r>
        <w:t xml:space="preserve"> </w:t>
      </w:r>
      <w:r>
        <w:t xml:space="preserve">o número de sobreviventes em cada grupo</w:t>
      </w:r>
      <w:r>
        <w:t xml:space="preserve"> </w:t>
      </w:r>
      <m:oMath>
        <m:r>
          <m:t>i</m:t>
        </m:r>
      </m:oMath>
      <w:r>
        <w:t xml:space="preserve">. Essa disposição está ilustrada na</w:t>
      </w:r>
      <w:r>
        <w:t xml:space="preserve"> </w:t>
      </w:r>
      <w:hyperlink w:anchor="tbl-ExampleTableContig">
        <w:r>
          <w:rPr>
            <w:rStyle w:val="Hyperlink"/>
          </w:rPr>
          <w:t xml:space="preserve">Tabela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tbl-ExampleTableContig"/>
          <w:p>
            <w:pPr>
              <w:jc w:val="center"/>
            </w:pPr>
            <w:pPr>
              <w:jc w:val="start"/>
              <w:spacing w:before="200"/>
              <w:pStyle w:val="ImageCaption"/>
            </w:pPr>
            <w:r>
              <w:t xml:space="preserve">Tabela 2.1: Tabela de contingência gerada no tempo</w:t>
            </w:r>
            <w:r>
              <w:t xml:space="preserve"> </w:t>
            </w:r>
            <m:oMath>
              <m:sSub>
                <m:e>
                  <m:r>
                    <m:t>t</m:t>
                  </m:r>
                </m:e>
                <m:sub>
                  <m:r>
                    <m:t>j</m:t>
                  </m:r>
                </m:sub>
              </m:sSub>
            </m:oMath>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Grupo 1</w:t>
                  </w:r>
                </w:p>
              </w:tc>
              <w:tc>
                <w:tcPr/>
                <w:p>
                  <w:pPr>
                    <w:pStyle w:val="Compact"/>
                    <w:jc w:val="center"/>
                    <w:jc w:val="center"/>
                  </w:pPr>
                  <w:r>
                    <w:t xml:space="preserve">Grupo 2</w:t>
                  </w:r>
                </w:p>
              </w:tc>
              <w:tc>
                <w:tcPr/>
                <w:p>
                  <w:pPr>
                    <w:pStyle w:val="Compact"/>
                  </w:pPr>
                </w:p>
              </w:tc>
            </w:tr>
            <w:tr>
              <w:tc>
                <w:tcPr/>
                <w:p>
                  <w:pPr>
                    <w:pStyle w:val="Compact"/>
                    <w:jc w:val="center"/>
                    <w:jc w:val="center"/>
                  </w:pPr>
                  <w:r>
                    <w:t xml:space="preserve">Falha</w:t>
                  </w:r>
                </w:p>
              </w:tc>
              <w:tc>
                <w:tcPr/>
                <w:p>
                  <w:pPr>
                    <w:pStyle w:val="Compact"/>
                    <w:jc w:val="center"/>
                    <w:jc w:val="center"/>
                  </w:pPr>
                  <m:oMath>
                    <m:sSub>
                      <m:e>
                        <m:r>
                          <m:t>d</m:t>
                        </m:r>
                      </m:e>
                      <m:sub>
                        <m:r>
                          <m:t>1</m:t>
                        </m:r>
                        <m:r>
                          <m:t>j</m:t>
                        </m:r>
                      </m:sub>
                    </m:sSub>
                  </m:oMath>
                </w:p>
              </w:tc>
              <w:tc>
                <w:tcPr/>
                <w:p>
                  <w:pPr>
                    <w:pStyle w:val="Compact"/>
                    <w:jc w:val="center"/>
                    <w:jc w:val="center"/>
                  </w:pPr>
                  <m:oMath>
                    <m:sSub>
                      <m:e>
                        <m:r>
                          <m:t>d</m:t>
                        </m:r>
                      </m:e>
                      <m:sub>
                        <m:r>
                          <m:t>2</m:t>
                        </m:r>
                        <m:r>
                          <m:t>j</m:t>
                        </m:r>
                      </m:sub>
                    </m:sSub>
                  </m:oMath>
                </w:p>
              </w:tc>
              <w:tc>
                <w:tcPr/>
                <w:p>
                  <w:pPr>
                    <w:pStyle w:val="Compact"/>
                    <w:jc w:val="center"/>
                    <w:jc w:val="center"/>
                  </w:pPr>
                  <m:oMath>
                    <m:sSub>
                      <m:e>
                        <m:r>
                          <m:t>d</m:t>
                        </m:r>
                      </m:e>
                      <m:sub>
                        <m:r>
                          <m:t>j</m:t>
                        </m:r>
                      </m:sub>
                    </m:sSub>
                  </m:oMath>
                </w:p>
              </w:tc>
            </w:tr>
            <w:tr>
              <w:tc>
                <w:tcPr/>
                <w:p>
                  <w:pPr>
                    <w:pStyle w:val="Compact"/>
                    <w:jc w:val="center"/>
                    <w:jc w:val="center"/>
                  </w:pPr>
                  <w:r>
                    <w:t xml:space="preserve">Não Falha</w:t>
                  </w:r>
                </w:p>
              </w:tc>
              <w:tc>
                <w:tcPr/>
                <w:p>
                  <w:pPr>
                    <w:pStyle w:val="Compact"/>
                    <w:jc w:val="center"/>
                    <w:jc w:val="center"/>
                  </w:pPr>
                  <m:oMath>
                    <m:sSub>
                      <m:e>
                        <m:r>
                          <m:t>n</m:t>
                        </m:r>
                      </m:e>
                      <m:sub>
                        <m:r>
                          <m:t>1</m:t>
                        </m:r>
                        <m:r>
                          <m:t>j</m:t>
                        </m:r>
                      </m:sub>
                    </m:sSub>
                    <m:r>
                      <m:rPr>
                        <m:sty m:val="p"/>
                      </m:rPr>
                      <m:t>−</m:t>
                    </m:r>
                    <m:sSub>
                      <m:e>
                        <m:r>
                          <m:t>d</m:t>
                        </m:r>
                      </m:e>
                      <m:sub>
                        <m:r>
                          <m:t>1</m:t>
                        </m:r>
                        <m:r>
                          <m:t>j</m:t>
                        </m:r>
                      </m:sub>
                    </m:sSub>
                  </m:oMath>
                </w:p>
              </w:tc>
              <w:tc>
                <w:tcPr/>
                <w:p>
                  <w:pPr>
                    <w:pStyle w:val="Compact"/>
                    <w:jc w:val="center"/>
                    <w:jc w:val="center"/>
                  </w:pPr>
                  <m:oMath>
                    <m:sSub>
                      <m:e>
                        <m:r>
                          <m:t>n</m:t>
                        </m:r>
                      </m:e>
                      <m:sub>
                        <m:r>
                          <m:t>2</m:t>
                        </m:r>
                        <m:r>
                          <m:t>j</m:t>
                        </m:r>
                      </m:sub>
                    </m:sSub>
                    <m:r>
                      <m:rPr>
                        <m:sty m:val="p"/>
                      </m:rPr>
                      <m:t>−</m:t>
                    </m:r>
                    <m:sSub>
                      <m:e>
                        <m:r>
                          <m:t>d</m:t>
                        </m:r>
                      </m:e>
                      <m:sub>
                        <m:r>
                          <m:t>2</m:t>
                        </m:r>
                        <m:r>
                          <m:t>j</m:t>
                        </m:r>
                      </m:sub>
                    </m:sSub>
                  </m:oMath>
                </w:p>
              </w:tc>
              <w:tc>
                <w:tcPr/>
                <w:p>
                  <w:pPr>
                    <w:pStyle w:val="Compact"/>
                    <w:jc w:val="center"/>
                    <w:jc w:val="center"/>
                  </w:pPr>
                  <m:oMath>
                    <m:sSub>
                      <m:e>
                        <m:r>
                          <m:t>n</m:t>
                        </m:r>
                      </m:e>
                      <m:sub>
                        <m:r>
                          <m:t>j</m:t>
                        </m:r>
                      </m:sub>
                    </m:sSub>
                    <m:r>
                      <m:rPr>
                        <m:sty m:val="p"/>
                      </m:rPr>
                      <m:t>−</m:t>
                    </m:r>
                    <m:sSub>
                      <m:e>
                        <m:r>
                          <m:t>d</m:t>
                        </m:r>
                      </m:e>
                      <m:sub>
                        <m:r>
                          <m:t>j</m:t>
                        </m:r>
                      </m:sub>
                    </m:sSub>
                  </m:oMath>
                </w:p>
              </w:tc>
            </w:tr>
            <w:tr>
              <w:tc>
                <w:tcPr/>
                <w:p>
                  <w:pPr>
                    <w:pStyle w:val="Compact"/>
                  </w:pPr>
                </w:p>
              </w:tc>
              <w:tc>
                <w:tcPr/>
                <w:p>
                  <w:pPr>
                    <w:pStyle w:val="Compact"/>
                    <w:jc w:val="center"/>
                    <w:jc w:val="center"/>
                  </w:pPr>
                  <m:oMath>
                    <m:sSub>
                      <m:e>
                        <m:r>
                          <m:t>n</m:t>
                        </m:r>
                      </m:e>
                      <m:sub>
                        <m:r>
                          <m:t>1</m:t>
                        </m:r>
                        <m:r>
                          <m:t>j</m:t>
                        </m:r>
                      </m:sub>
                    </m:sSub>
                  </m:oMath>
                </w:p>
              </w:tc>
              <w:tc>
                <w:tcPr/>
                <w:p>
                  <w:pPr>
                    <w:pStyle w:val="Compact"/>
                    <w:jc w:val="center"/>
                    <w:jc w:val="center"/>
                  </w:pPr>
                  <m:oMath>
                    <m:sSub>
                      <m:e>
                        <m:r>
                          <m:t>n</m:t>
                        </m:r>
                      </m:e>
                      <m:sub>
                        <m:r>
                          <m:t>2</m:t>
                        </m:r>
                        <m:r>
                          <m:t>j</m:t>
                        </m:r>
                      </m:sub>
                    </m:sSub>
                  </m:oMath>
                </w:p>
              </w:tc>
              <w:tc>
                <w:tcPr/>
                <w:p>
                  <w:pPr>
                    <w:pStyle w:val="Compact"/>
                    <w:jc w:val="center"/>
                    <w:jc w:val="center"/>
                  </w:pPr>
                  <m:oMath>
                    <m:sSub>
                      <m:e>
                        <m:r>
                          <m:t>n</m:t>
                        </m:r>
                      </m:e>
                      <m:sub>
                        <m:r>
                          <m:t>j</m:t>
                        </m:r>
                      </m:sub>
                    </m:sSub>
                  </m:oMath>
                </w:p>
              </w:tc>
            </w:tr>
          </w:tbl>
          <w:bookmarkEnd w:id="55"/>
          <w:p/>
        </w:tc>
      </w:tr>
    </w:tbl>
    <w:p>
      <w:pPr>
        <w:pStyle w:val="BodyText"/>
      </w:pPr>
      <w:r>
        <w:t xml:space="preserve">Condicionado à ocorrência de falhas e censuras até o tempo</w:t>
      </w:r>
      <w:r>
        <w:t xml:space="preserve"> </w:t>
      </w:r>
      <m:oMath>
        <m:sSub>
          <m:e>
            <m:r>
              <m:t>t</m:t>
            </m:r>
          </m:e>
          <m:sub>
            <m:r>
              <m:t>j</m:t>
            </m:r>
          </m:sub>
        </m:sSub>
      </m:oMath>
      <w:r>
        <w:t xml:space="preserve"> </w:t>
      </w:r>
      <w:r>
        <w:t xml:space="preserve">(fixando as marginais das colunas) e ao número total de falhas no tempo</w:t>
      </w:r>
      <w:r>
        <w:t xml:space="preserve"> </w:t>
      </w:r>
      <m:oMath>
        <m:sSub>
          <m:e>
            <m:r>
              <m:t>t</m:t>
            </m:r>
          </m:e>
          <m:sub>
            <m:r>
              <m:t>j</m:t>
            </m:r>
          </m:sub>
        </m:sSub>
      </m:oMath>
      <w:r>
        <w:t xml:space="preserve"> </w:t>
      </w:r>
      <w:r>
        <w:t xml:space="preserve">(fixando as marginais das linhas), a distribuição de</w:t>
      </w:r>
      <w:r>
        <w:t xml:space="preserve"> </w:t>
      </w:r>
      <m:oMath>
        <m:sSub>
          <m:e>
            <m:r>
              <m:t>d</m:t>
            </m:r>
          </m:e>
          <m:sub>
            <m:r>
              <m:t>2</m:t>
            </m:r>
            <m:r>
              <m:t>j</m:t>
            </m:r>
          </m:sub>
        </m:sSub>
      </m:oMath>
      <w:r>
        <w:t xml:space="preserve"> </w:t>
      </w:r>
      <w:r>
        <w:t xml:space="preserve">é, então, uma hipergeométrica:</w:t>
      </w:r>
    </w:p>
    <w:p>
      <w:pPr>
        <w:pStyle w:val="BodyText"/>
      </w:pPr>
      <m:oMathPara>
        <m:oMathParaPr>
          <m:jc m:val="center"/>
        </m:oMathParaPr>
        <m:oMath>
          <m:f>
            <m:fPr>
              <m:type m:val="bar"/>
            </m:fPr>
            <m:num>
              <m:d>
                <m:dPr>
                  <m:begChr m:val="("/>
                  <m:endChr m:val=")"/>
                  <m:sepChr m:val=""/>
                  <m:grow/>
                </m:dPr>
                <m:e>
                  <m:f>
                    <m:fPr>
                      <m:type m:val="noBar"/>
                    </m:fPr>
                    <m:num>
                      <m:sSub>
                        <m:e>
                          <m:r>
                            <m:t>n</m:t>
                          </m:r>
                        </m:e>
                        <m:sub>
                          <m:r>
                            <m:t>1</m:t>
                          </m:r>
                          <m:r>
                            <m:t>j</m:t>
                          </m:r>
                        </m:sub>
                      </m:sSub>
                    </m:num>
                    <m:den>
                      <m:sSub>
                        <m:e>
                          <m:r>
                            <m:t>d</m:t>
                          </m:r>
                        </m:e>
                        <m:sub>
                          <m:r>
                            <m:t>1</m:t>
                          </m:r>
                          <m:r>
                            <m:t>j</m:t>
                          </m:r>
                        </m:sub>
                      </m:sSub>
                    </m:den>
                  </m:f>
                </m:e>
              </m:d>
              <m:d>
                <m:dPr>
                  <m:begChr m:val="("/>
                  <m:endChr m:val=")"/>
                  <m:sepChr m:val=""/>
                  <m:grow/>
                </m:dPr>
                <m:e>
                  <m:f>
                    <m:fPr>
                      <m:type m:val="noBar"/>
                    </m:fPr>
                    <m:num>
                      <m:sSub>
                        <m:e>
                          <m:r>
                            <m:t>n</m:t>
                          </m:r>
                        </m:e>
                        <m:sub>
                          <m:r>
                            <m:t>2</m:t>
                          </m:r>
                          <m:r>
                            <m:t>j</m:t>
                          </m:r>
                        </m:sub>
                      </m:sSub>
                    </m:num>
                    <m:den>
                      <m:sSub>
                        <m:e>
                          <m:r>
                            <m:t>d</m:t>
                          </m:r>
                        </m:e>
                        <m:sub>
                          <m:r>
                            <m:t>2</m:t>
                          </m:r>
                          <m:r>
                            <m:t>j</m:t>
                          </m:r>
                        </m:sub>
                      </m:sSub>
                    </m:den>
                  </m:f>
                </m:e>
              </m:d>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2</m:t>
            </m:r>
            <m:r>
              <m:t>j</m:t>
            </m:r>
          </m:sub>
        </m:sSub>
      </m:oMath>
      <w:r>
        <w:t xml:space="preserve"> </w:t>
      </w:r>
      <w:r>
        <w:t xml:space="preserve">é dada por</w:t>
      </w:r>
      <w:r>
        <w:t xml:space="preserve"> </w:t>
      </w:r>
      <m:oMath>
        <m:sSub>
          <m:e>
            <m:r>
              <m:t>w</m:t>
            </m:r>
          </m:e>
          <m:sub>
            <m:r>
              <m:t>2</m:t>
            </m:r>
            <m:r>
              <m:t>j</m:t>
            </m:r>
          </m:sub>
        </m:sSub>
        <m:r>
          <m:rPr>
            <m:sty m:val="p"/>
          </m:rPr>
          <m:t>=</m:t>
        </m:r>
        <m:sSub>
          <m:e>
            <m:r>
              <m:t>n</m:t>
            </m:r>
          </m:e>
          <m:sub>
            <m:r>
              <m:t>2</m:t>
            </m:r>
            <m:r>
              <m:t>j</m:t>
            </m:r>
          </m:sub>
        </m:sSub>
        <m:sSub>
          <m:e>
            <m:r>
              <m:t>d</m:t>
            </m:r>
          </m:e>
          <m:sub>
            <m:r>
              <m:t>j</m:t>
            </m:r>
          </m:sub>
        </m:sSub>
        <m:sSubSup>
          <m:e>
            <m:r>
              <m:t>n</m:t>
            </m:r>
          </m:e>
          <m:sub>
            <m:r>
              <m:t>j</m:t>
            </m:r>
          </m:sub>
          <m:sup>
            <m:r>
              <m:rPr>
                <m:sty m:val="p"/>
              </m:rPr>
              <m:t>−</m:t>
            </m:r>
            <m:r>
              <m:t>1</m:t>
            </m:r>
          </m:sup>
        </m:sSubSup>
      </m:oMath>
      <w:r>
        <w:t xml:space="preserve">. Isso significa que, na ausência de diferenças entre as duas populações no tempo</w:t>
      </w:r>
      <w:r>
        <w:t xml:space="preserve"> </w:t>
      </w:r>
      <m:oMath>
        <m:sSub>
          <m:e>
            <m:r>
              <m:t>t</m:t>
            </m:r>
          </m:e>
          <m:sub>
            <m:r>
              <m:t>j</m:t>
            </m:r>
          </m:sub>
        </m:sSub>
      </m:oMath>
      <w:r>
        <w:t xml:space="preserve">, o número total de falhas (</w:t>
      </w:r>
      <m:oMath>
        <m:sSub>
          <m:e>
            <m:r>
              <m:t>d</m:t>
            </m:r>
          </m:e>
          <m:sub>
            <m:r>
              <m:t>j</m:t>
            </m:r>
          </m:sub>
        </m:sSub>
      </m:oMath>
      <w:r>
        <w:t xml:space="preserve">) pode ser alocado entre as duas amostras proporcionalmente à razão entre o número de indivíduos sob risco em cada amostra e o número total sob risco.</w:t>
      </w:r>
    </w:p>
    <w:p>
      <w:pPr>
        <w:pStyle w:val="BodyText"/>
      </w:pPr>
      <w:r>
        <w:t xml:space="preserve">A variância de</w:t>
      </w:r>
      <w:r>
        <w:t xml:space="preserve"> </w:t>
      </w:r>
      <m:oMath>
        <m:sSub>
          <m:e>
            <m:r>
              <m:t>d</m:t>
            </m:r>
          </m:e>
          <m:sub>
            <m:r>
              <m:t>2</m:t>
            </m:r>
            <m:r>
              <m:t>j</m:t>
            </m:r>
          </m:sub>
        </m:sSub>
      </m:oMath>
      <w:r>
        <w:t xml:space="preserve"> </w:t>
      </w:r>
      <w:r>
        <w:t xml:space="preserve">obtida a partir da distribuição hipergeométrica é:</w:t>
      </w:r>
    </w:p>
    <w:p>
      <w:pPr>
        <w:pStyle w:val="BodyText"/>
      </w:pPr>
      <m:oMathPara>
        <m:oMathParaPr>
          <m:jc m:val="center"/>
        </m:oMathParaPr>
        <m:oMath>
          <m:sSub>
            <m:e>
              <m:d>
                <m:dPr>
                  <m:begChr m:val="("/>
                  <m:endChr m:val=")"/>
                  <m:sepChr m:val=""/>
                  <m:grow/>
                </m:dPr>
                <m:e>
                  <m:sSub>
                    <m:e>
                      <m:r>
                        <m:t>V</m:t>
                      </m:r>
                    </m:e>
                    <m:sub>
                      <m:r>
                        <m:t>j</m:t>
                      </m:r>
                    </m:sub>
                  </m:sSub>
                </m:e>
              </m:d>
            </m:e>
            <m:sub>
              <m:r>
                <m:t>2</m:t>
              </m:r>
            </m:sub>
          </m:sSub>
          <m:r>
            <m:rPr>
              <m:sty m:val="p"/>
            </m:rPr>
            <m:t>=</m:t>
          </m:r>
          <m:sSub>
            <m:e>
              <m:r>
                <m:t>n</m:t>
              </m:r>
            </m:e>
            <m:sub>
              <m:r>
                <m:t>2</m:t>
              </m:r>
              <m:r>
                <m:t>j</m:t>
              </m:r>
            </m:sub>
          </m:sSub>
          <m:d>
            <m:dPr>
              <m:begChr m:val="("/>
              <m:endChr m:val=")"/>
              <m:sepChr m:val=""/>
              <m:grow/>
            </m:dPr>
            <m:e>
              <m:sSub>
                <m:e>
                  <m:r>
                    <m:t>n</m:t>
                  </m:r>
                </m:e>
                <m:sub>
                  <m:r>
                    <m:t>j</m:t>
                  </m:r>
                </m:sub>
              </m:sSub>
              <m:r>
                <m:rPr>
                  <m:sty m:val="p"/>
                </m:rPr>
                <m:t>−</m:t>
              </m:r>
              <m:sSub>
                <m:e>
                  <m:r>
                    <m:t>n</m:t>
                  </m:r>
                </m:e>
                <m:sub>
                  <m:r>
                    <m:t>2</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Portanto, a estatística</w:t>
      </w:r>
      <w:r>
        <w:t xml:space="preserve"> </w:t>
      </w:r>
      <m:oMath>
        <m:sSub>
          <m:e>
            <m:r>
              <m:t>d</m:t>
            </m:r>
          </m:e>
          <m:sub>
            <m:r>
              <m:t>2</m:t>
            </m:r>
            <m:r>
              <m:t>j</m:t>
            </m:r>
          </m:sub>
        </m:sSub>
        <m:r>
          <m:rPr>
            <m:sty m:val="p"/>
          </m:rPr>
          <m:t>−</m:t>
        </m:r>
        <m:sSub>
          <m:e>
            <m:r>
              <m:t>w</m:t>
            </m:r>
          </m:e>
          <m:sub>
            <m:r>
              <m:t>2</m:t>
            </m:r>
            <m:r>
              <m:t>j</m:t>
            </m:r>
          </m:sub>
        </m:sSub>
      </m:oMath>
      <w:r>
        <w:t xml:space="preserve"> </w:t>
      </w:r>
      <w:r>
        <w:t xml:space="preserve">possui média zero e variância</w:t>
      </w:r>
      <w:r>
        <w:t xml:space="preserve"> </w:t>
      </w:r>
      <m:oMath>
        <m:sSub>
          <m:e>
            <m:d>
              <m:dPr>
                <m:begChr m:val="("/>
                <m:endChr m:val=")"/>
                <m:sepChr m:val=""/>
                <m:grow/>
              </m:dPr>
              <m:e>
                <m:sSub>
                  <m:e>
                    <m:r>
                      <m:t>V</m:t>
                    </m:r>
                  </m:e>
                  <m:sub>
                    <m:r>
                      <m:t>j</m:t>
                    </m:r>
                  </m:sub>
                </m:sSub>
              </m:e>
            </m:d>
          </m:e>
          <m:sub>
            <m:r>
              <m:t>2</m:t>
            </m:r>
          </m:sub>
        </m:sSub>
      </m:oMath>
      <w:r>
        <w:t xml:space="preserve">. Se as</w:t>
      </w:r>
      <w:r>
        <w:t xml:space="preserve"> </w:t>
      </w:r>
      <m:oMath>
        <m:r>
          <m:t>k</m:t>
        </m:r>
      </m:oMath>
      <w:r>
        <w:t xml:space="preserve"> </w:t>
      </w:r>
      <w:r>
        <w:t xml:space="preserve">tabelas de contingência forem independentes, um teste aproximado para avaliar a igualdade entre as duas funções de sobrevivência pode ser construído com base na seguinte estatística:</w:t>
      </w:r>
    </w:p>
    <w:p>
      <w:pPr>
        <w:pStyle w:val="BodyText"/>
      </w:pPr>
      <w:bookmarkStart w:id="56" w:name="eq-EstTestelogrank"/>
      <m:oMathPara>
        <m:oMathParaPr>
          <m:jc m:val="center"/>
        </m:oMathParaPr>
        <m:oMath>
          <m:r>
            <m:t>T</m:t>
          </m:r>
          <m:r>
            <m:rPr>
              <m:sty m:val="p"/>
            </m:rPr>
            <m:t>=</m:t>
          </m:r>
          <m:f>
            <m:fPr>
              <m:type m:val="bar"/>
            </m:fPr>
            <m:num>
              <m:sSup>
                <m:e>
                  <m:d>
                    <m:dPr>
                      <m:begChr m:val="["/>
                      <m:endChr m:val="]"/>
                      <m:sepChr m:val=""/>
                      <m:grow/>
                    </m:dPr>
                    <m:e>
                      <m:nary>
                        <m:naryPr>
                          <m:chr m:val="∑"/>
                          <m:limLoc m:val="undOvr"/>
                          <m:subHide m:val="off"/>
                          <m:supHide m:val="off"/>
                        </m:naryPr>
                        <m:sub>
                          <m:r>
                            <m:t>j</m:t>
                          </m:r>
                          <m:r>
                            <m:rPr>
                              <m:sty m:val="p"/>
                            </m:rPr>
                            <m:t>=</m:t>
                          </m:r>
                          <m:r>
                            <m:t>1</m:t>
                          </m:r>
                        </m:sub>
                        <m:sup>
                          <m:r>
                            <m:t>k</m:t>
                          </m:r>
                        </m:sup>
                        <m:e>
                          <m:d>
                            <m:dPr>
                              <m:begChr m:val="("/>
                              <m:endChr m:val=")"/>
                              <m:sepChr m:val=""/>
                              <m:grow/>
                            </m:dPr>
                            <m:e>
                              <m:sSub>
                                <m:e>
                                  <m:r>
                                    <m:t>d</m:t>
                                  </m:r>
                                </m:e>
                                <m:sub>
                                  <m:r>
                                    <m:t>2</m:t>
                                  </m:r>
                                  <m:r>
                                    <m:t>j</m:t>
                                  </m:r>
                                </m:sub>
                              </m:sSub>
                              <m:r>
                                <m:rPr>
                                  <m:sty m:val="p"/>
                                </m:rPr>
                                <m:t>−</m:t>
                              </m:r>
                              <m:sSub>
                                <m:e>
                                  <m:r>
                                    <m:t>w</m:t>
                                  </m:r>
                                </m:e>
                                <m:sub>
                                  <m:r>
                                    <m:t>2</m:t>
                                  </m:r>
                                  <m:r>
                                    <m:t>j</m:t>
                                  </m:r>
                                </m:sub>
                              </m:sSub>
                            </m:e>
                          </m:d>
                        </m:e>
                      </m:nary>
                    </m:e>
                  </m:d>
                </m:e>
                <m:sup>
                  <m:r>
                    <m:t>2</m:t>
                  </m:r>
                </m:sup>
              </m:sSup>
            </m:num>
            <m:den>
              <m:nary>
                <m:naryPr>
                  <m:chr m:val="∑"/>
                  <m:limLoc m:val="undOvr"/>
                  <m:subHide m:val="off"/>
                  <m:supHide m:val="off"/>
                </m:naryPr>
                <m:sub>
                  <m:r>
                    <m:t>j</m:t>
                  </m:r>
                  <m:r>
                    <m:rPr>
                      <m:sty m:val="p"/>
                    </m:rPr>
                    <m:t>=</m:t>
                  </m:r>
                  <m:r>
                    <m:t>1</m:t>
                  </m:r>
                </m:sub>
                <m:sup>
                  <m:r>
                    <m:t>k</m:t>
                  </m:r>
                </m:sup>
                <m:e>
                  <m:sSub>
                    <m:e>
                      <m:d>
                        <m:dPr>
                          <m:begChr m:val="("/>
                          <m:endChr m:val=")"/>
                          <m:sepChr m:val=""/>
                          <m:grow/>
                        </m:dPr>
                        <m:e>
                          <m:sSub>
                            <m:e>
                              <m:r>
                                <m:t>V</m:t>
                              </m:r>
                            </m:e>
                            <m:sub>
                              <m:r>
                                <m:t>j</m:t>
                              </m:r>
                            </m:sub>
                          </m:sSub>
                        </m:e>
                      </m:d>
                    </m:e>
                    <m:sub>
                      <m:r>
                        <m:t>2</m:t>
                      </m:r>
                    </m:sub>
                  </m:sSub>
                </m:e>
              </m:nary>
            </m:den>
          </m:f>
          <m:r>
            <m:rPr>
              <m:sty m:val="p"/>
            </m:rPr>
            <m:t>,</m:t>
          </m:r>
          <m:r>
            <m:t>  </m:t>
          </m:r>
          <m:d>
            <m:dPr>
              <m:begChr m:val="("/>
              <m:endChr m:val=")"/>
              <m:sepChr m:val=""/>
              <m:grow/>
            </m:dPr>
            <m:e>
              <m:r>
                <m:t>2.7</m:t>
              </m:r>
            </m:e>
          </m:d>
        </m:oMath>
      </m:oMathPara>
      <w:bookmarkEnd w:id="56"/>
    </w:p>
    <w:p>
      <w:pPr>
        <w:pStyle w:val="FirstParagraph"/>
      </w:pPr>
      <w:r>
        <w:t xml:space="preserve">que, sob a hipótese nula</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para todo</w:t>
      </w:r>
      <w:r>
        <w:t xml:space="preserve"> </w:t>
      </w:r>
      <m:oMath>
        <m:r>
          <m:t>t</m:t>
        </m:r>
      </m:oMath>
      <w:r>
        <w:t xml:space="preserve"> </w:t>
      </w:r>
      <w:r>
        <w:t xml:space="preserve">no período de acompanhamento, segue aproximadamente uma distribuição qui-quadrado com</w:t>
      </w:r>
      <w:r>
        <w:t xml:space="preserve"> </w:t>
      </w:r>
      <m:oMath>
        <m:r>
          <m:t>1</m:t>
        </m:r>
      </m:oMath>
      <w:r>
        <w:t xml:space="preserve"> </w:t>
      </w:r>
      <w:r>
        <w:t xml:space="preserve">grau de liberdade para amostras grandes.</w:t>
      </w:r>
    </w:p>
    <w:p>
      <w:pPr>
        <w:pStyle w:val="BodyText"/>
      </w:pPr>
      <w:r>
        <w:t xml:space="preserve">Para exemplificar a aplicação do teste de</w:t>
      </w:r>
      <w:r>
        <w:t xml:space="preserve"> </w:t>
      </w:r>
      <w:r>
        <w:rPr>
          <w:i/>
          <w:iCs/>
        </w:rPr>
        <w:t xml:space="preserve">logrank</w:t>
      </w:r>
      <w:r>
        <w:t xml:space="preserve"> </w:t>
      </w:r>
      <w:r>
        <w:t xml:space="preserve">em dados reais, utilizou-se o conjunto de dados sobre Leucemia Pediátrica, disponível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Esses mesmos dados foram usados para gerar a</w:t>
      </w:r>
      <w:r>
        <w:t xml:space="preserve"> </w:t>
      </w:r>
      <w:hyperlink w:anchor="fig-SobrKM">
        <w:r>
          <w:rPr>
            <w:rStyle w:val="Hyperlink"/>
          </w:rPr>
          <w:t xml:space="preserve">Figura 2.1</w:t>
        </w:r>
      </w:hyperlink>
      <w:r>
        <w:t xml:space="preserve">. O objetivo do teste realizado foi avaliar se as curvas de sobrevivência das categorias da covariável</w:t>
      </w:r>
      <w:r>
        <w:t xml:space="preserve"> </w:t>
      </w:r>
      <w:r>
        <w:rPr>
          <w:rStyle w:val="VerbatimChar"/>
        </w:rPr>
        <w:t xml:space="preserve">r6</w:t>
      </w:r>
      <w:r>
        <w:t xml:space="preserve"> </w:t>
      </w:r>
      <w:r>
        <w:t xml:space="preserve">são iguais, com as seguintes hipóteses: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r>
                      <m:rPr>
                        <m:nor/>
                        <m:sty m:val="p"/>
                      </m:rPr>
                      <m:t>As curvas de sobrevivência dos grupos são iguais ao longo do tempo.</m:t>
                    </m:r>
                  </m:e>
                </m:mr>
                <m:mr>
                  <m:e>
                    <m:sSub>
                      <m:e>
                        <m:r>
                          <m:t>H</m:t>
                        </m:r>
                      </m:e>
                      <m:sub>
                        <m:r>
                          <m:t>1</m:t>
                        </m:r>
                      </m:sub>
                    </m:sSub>
                    <m:r>
                      <m:rPr>
                        <m:sty m:val="p"/>
                      </m:rPr>
                      <m:t>:</m:t>
                    </m:r>
                    <m:r>
                      <m:rPr>
                        <m:nor/>
                        <m:sty m:val="p"/>
                      </m:rPr>
                      <m:t>As curvas de sobrevivência dos grupos são diferentes ao longo do tempo.</m:t>
                    </m:r>
                  </m:e>
                </m:mr>
              </m:m>
            </m:e>
          </m:d>
        </m:oMath>
      </m:oMathPara>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w:t>
      </w:r>
      <w:r>
        <w:br/>
      </w:r>
      <w:r>
        <w:rPr>
          <w:rStyle w:val="CommentTok"/>
        </w:rPr>
        <w:t xml:space="preserve"># [2] IMPORTAÇÃO E AJUSTES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Decodificando a coluna r_6</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ifelse</w:t>
      </w:r>
      <w:r>
        <w:rPr>
          <w:rStyle w:val="NormalTok"/>
        </w:rPr>
        <w:t xml:space="preserve">(r6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"Category Zero"</w:t>
      </w:r>
      <w:r>
        <w:rPr>
          <w:rStyle w:val="NormalTok"/>
        </w:rPr>
        <w:t xml:space="preserve">, </w:t>
      </w:r>
      <w:r>
        <w:rPr>
          <w:rStyle w:val="StringTok"/>
        </w:rPr>
        <w:t xml:space="preserve">"Category One"</w:t>
      </w:r>
      <w:r>
        <w:rPr>
          <w:rStyle w:val="NormalTok"/>
        </w:rPr>
        <w:t xml:space="preserve">))</w:t>
      </w:r>
      <w:r>
        <w:br/>
      </w:r>
      <w:r>
        <w:br/>
      </w:r>
      <w:r>
        <w:rPr>
          <w:rStyle w:val="CommentTok"/>
        </w:rPr>
        <w:t xml:space="preserve"># ----------------------</w:t>
      </w:r>
      <w:r>
        <w:br/>
      </w:r>
      <w:r>
        <w:rPr>
          <w:rStyle w:val="CommentTok"/>
        </w:rPr>
        <w:t xml:space="preserve"># [3] TESTE DE LOGRANK</w:t>
      </w:r>
      <w:r>
        <w:br/>
      </w:r>
      <w:r>
        <w:rPr>
          <w:rStyle w:val="CommentTok"/>
        </w:rPr>
        <w:t xml:space="preserve"># ----------------------</w:t>
      </w:r>
      <w:r>
        <w:br/>
      </w:r>
      <w:r>
        <w:br/>
      </w:r>
      <w:r>
        <w:rPr>
          <w:rStyle w:val="CommentTok"/>
        </w:rPr>
        <w:t xml:space="preserve"># Aplicando o Teste de Logrank</w:t>
      </w:r>
      <w:r>
        <w:br/>
      </w:r>
      <w:r>
        <w:rPr>
          <w:rStyle w:val="NormalTok"/>
        </w:rPr>
        <w:t xml:space="preserve">TestLogrank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grupo, </w:t>
      </w:r>
      <w:r>
        <w:rPr>
          <w:rStyle w:val="AttributeTok"/>
        </w:rPr>
        <w:t xml:space="preserve">data =</w:t>
      </w:r>
      <w:r>
        <w:rPr>
          <w:rStyle w:val="NormalTok"/>
        </w:rPr>
        <w:t xml:space="preserve"> df, </w:t>
      </w:r>
      <w:r>
        <w:rPr>
          <w:rStyle w:val="AttributeTok"/>
        </w:rPr>
        <w:t xml:space="preserve">rho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(TestLogrank)</w:t>
      </w:r>
    </w:p>
    <w:p>
      <w:pPr>
        <w:pStyle w:val="SourceCode"/>
      </w:pPr>
      <w:r>
        <w:rPr>
          <w:rStyle w:val="VerbatimChar"/>
        </w:rPr>
        <w:t xml:space="preserve">Call:</w:t>
      </w:r>
      <w:r>
        <w:br/>
      </w:r>
      <w:r>
        <w:rPr>
          <w:rStyle w:val="VerbatimChar"/>
        </w:rPr>
        <w:t xml:space="preserve">survdiff(formula = Surv(tempos, cens) ~ grupo, data = df, rho = 0)</w:t>
      </w:r>
      <w:r>
        <w:br/>
      </w:r>
      <w:r>
        <w:br/>
      </w:r>
      <w:r>
        <w:rPr>
          <w:rStyle w:val="VerbatimChar"/>
        </w:rPr>
        <w:t xml:space="preserve">                     N Observed Expected (O-E)^2/E (O-E)^2/V</w:t>
      </w:r>
      <w:r>
        <w:br/>
      </w:r>
      <w:r>
        <w:rPr>
          <w:rStyle w:val="VerbatimChar"/>
        </w:rPr>
        <w:t xml:space="preserve">grupo=Category One  95       34    37.16     0.269      5.73</w:t>
      </w:r>
      <w:r>
        <w:br/>
      </w:r>
      <w:r>
        <w:rPr>
          <w:rStyle w:val="VerbatimChar"/>
        </w:rPr>
        <w:t xml:space="preserve">grupo=Category Zero  8        5     1.84     5.429      5.73</w:t>
      </w:r>
      <w:r>
        <w:br/>
      </w:r>
      <w:r>
        <w:br/>
      </w:r>
      <w:r>
        <w:rPr>
          <w:rStyle w:val="VerbatimChar"/>
        </w:rPr>
        <w:t xml:space="preserve"> Chisq= 5.7  on 1 degrees of freedom, p= 0.02 </w:t>
      </w:r>
    </w:p>
    <w:p>
      <w:pPr>
        <w:pStyle w:val="FirstParagraph"/>
      </w:pPr>
      <w:r>
        <w:t xml:space="preserve">Ao fixar o nível de significância em 5% (</w:t>
      </w:r>
      <m:oMath>
        <m:r>
          <m:t>α</m:t>
        </m:r>
        <m:r>
          <m:rPr>
            <m:sty m:val="p"/>
          </m:rPr>
          <m:t>=</m:t>
        </m:r>
        <m:r>
          <m:t>0</m:t>
        </m:r>
        <m:r>
          <m:rPr>
            <m:sty m:val="p"/>
          </m:rPr>
          <m:t>,</m:t>
        </m:r>
        <m:r>
          <m:t>05</m:t>
        </m:r>
      </m:oMath>
      <w:r>
        <w:t xml:space="preserve">), rejeitamos a hipótese nula. Essa conclusão baseia-se no valor</w:t>
      </w:r>
      <w:r>
        <w:t xml:space="preserve"> </w:t>
      </w:r>
      <m:oMath>
        <m:r>
          <m:t>p</m:t>
        </m:r>
      </m:oMath>
      <w:r>
        <w:t xml:space="preserve"> </w:t>
      </w:r>
      <w:r>
        <w:t xml:space="preserve">(probabilidade de significância) obtido no teste, calculado como</w:t>
      </w:r>
      <w:r>
        <w:t xml:space="preserve"> </w:t>
      </w:r>
      <m:oMath>
        <m:r>
          <m:t>p</m:t>
        </m:r>
        <m:r>
          <m:rPr>
            <m:sty m:val="p"/>
          </m:rPr>
          <m:t>−</m:t>
        </m:r>
        <m:r>
          <m:t>v</m:t>
        </m:r>
        <m:r>
          <m:t>a</m:t>
        </m:r>
        <m:r>
          <m:t>l</m:t>
        </m:r>
        <m:r>
          <m:t>o</m:t>
        </m:r>
        <m:r>
          <m:t>r</m:t>
        </m:r>
        <m:r>
          <m:rPr>
            <m:sty m:val="p"/>
          </m:rPr>
          <m:t>=</m:t>
        </m:r>
      </m:oMath>
      <w:r>
        <w:t xml:space="preserve"> </w:t>
      </w:r>
      <w:r>
        <w:t xml:space="preserve">0.0166441. Como o</w:t>
      </w:r>
      <w:r>
        <w:t xml:space="preserve"> </w:t>
      </w:r>
      <m:oMath>
        <m:r>
          <m:t>p</m:t>
        </m:r>
        <m:r>
          <m:rPr>
            <m:sty m:val="p"/>
          </m:rPr>
          <m:t>−</m:t>
        </m:r>
        <m:r>
          <m:t>v</m:t>
        </m:r>
        <m:r>
          <m:t>a</m:t>
        </m:r>
        <m:r>
          <m:t>l</m:t>
        </m:r>
        <m:r>
          <m:t>o</m:t>
        </m:r>
        <m:r>
          <m:t>r</m:t>
        </m:r>
        <m:r>
          <m:rPr>
            <m:sty m:val="p"/>
          </m:rPr>
          <m:t>&lt;</m:t>
        </m:r>
        <m:r>
          <m:t>α</m:t>
        </m:r>
      </m:oMath>
      <w:r>
        <w:t xml:space="preserve">, rejeita-se</w:t>
      </w:r>
      <w:r>
        <w:t xml:space="preserve"> </w:t>
      </w:r>
      <m:oMath>
        <m:sSub>
          <m:e>
            <m:r>
              <m:t>H</m:t>
            </m:r>
          </m:e>
          <m:sub>
            <m:r>
              <m:t>0</m:t>
            </m:r>
          </m:sub>
        </m:sSub>
      </m:oMath>
      <w:r>
        <w:t xml:space="preserve">. Assim, conclui-se que as curvas de sobrevivência dos grupos são diferentes ao longo do tempo, ao nível de significância de 5%.</w:t>
      </w:r>
    </w:p>
    <w:p>
      <w:pPr>
        <w:pStyle w:val="BodyText"/>
      </w:pPr>
      <w:r>
        <w:t xml:space="preserve">A generalização do teste</w:t>
      </w:r>
      <w:r>
        <w:t xml:space="preserve"> </w:t>
      </w:r>
      <w:r>
        <w:rPr>
          <w:i/>
          <w:iCs/>
        </w:rPr>
        <w:t xml:space="preserve">logrank</w:t>
      </w:r>
      <w:r>
        <w:t xml:space="preserve"> </w:t>
      </w:r>
      <w:r>
        <w:t xml:space="preserve">para a comparação de</w:t>
      </w:r>
      <w:r>
        <w:t xml:space="preserve"> </w:t>
      </w:r>
      <m:oMath>
        <m:r>
          <m:t>r</m:t>
        </m:r>
        <m:r>
          <m:rPr>
            <m:sty m:val="p"/>
          </m:rPr>
          <m:t>&gt;</m:t>
        </m:r>
        <m:r>
          <m:t>2</m:t>
        </m:r>
      </m:oMath>
      <w:r>
        <w:t xml:space="preserve"> </w:t>
      </w:r>
      <w:r>
        <w:t xml:space="preserve">funções de sobrevivência,</w:t>
      </w:r>
      <w:r>
        <w:t xml:space="preserve"> </w:t>
      </w:r>
      <m:oMath>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r>
          <m:rPr>
            <m:sty m:val="p"/>
          </m:rPr>
          <m:t>,</m:t>
        </m:r>
        <m:r>
          <m:rPr>
            <m:sty m:val="p"/>
          </m:rPr>
          <m:t>…</m:t>
        </m:r>
        <m:r>
          <m:rPr>
            <m:sty m:val="p"/>
          </m:rPr>
          <m:t>,</m:t>
        </m:r>
        <m:sSub>
          <m:e>
            <m:r>
              <m:t>S</m:t>
            </m:r>
          </m:e>
          <m:sub>
            <m:r>
              <m:t>r</m:t>
            </m:r>
          </m:sub>
        </m:sSub>
        <m:d>
          <m:dPr>
            <m:begChr m:val="("/>
            <m:endChr m:val=")"/>
            <m:sepChr m:val=""/>
            <m:grow/>
          </m:dPr>
          <m:e>
            <m:r>
              <m:t>t</m:t>
            </m:r>
          </m:e>
        </m:d>
      </m:oMath>
      <w:r>
        <w:t xml:space="preserve">, é direta. Utilizando a mesma notação anterior, o índice</w:t>
      </w:r>
      <w:r>
        <w:t xml:space="preserve"> </w:t>
      </w:r>
      <m:oMath>
        <m:r>
          <m:t>i</m:t>
        </m:r>
      </m:oMath>
      <w:r>
        <w:t xml:space="preserve"> </w:t>
      </w:r>
      <w:r>
        <w:t xml:space="preserve">varia agora de</w:t>
      </w:r>
      <w:r>
        <w:t xml:space="preserve"> </w:t>
      </w:r>
      <m:oMath>
        <m:r>
          <m:t>1</m:t>
        </m:r>
      </m:oMath>
      <w:r>
        <w:t xml:space="preserve"> </w:t>
      </w:r>
      <w:r>
        <w:t xml:space="preserve">a</w:t>
      </w:r>
      <w:r>
        <w:t xml:space="preserve"> </w:t>
      </w:r>
      <m:oMath>
        <m:r>
          <m:t>r</m:t>
        </m:r>
      </m:oMath>
      <w:r>
        <w:t xml:space="preserve">. Assim, os dados podem ser organizados em uma tabela de contingência</w:t>
      </w:r>
      <w:r>
        <w:t xml:space="preserve"> </w:t>
      </w:r>
      <m:oMath>
        <m:r>
          <m:t>2</m:t>
        </m:r>
        <m:r>
          <m:rPr>
            <m:sty m:val="p"/>
          </m:rPr>
          <m:t>×</m:t>
        </m:r>
        <m:r>
          <m:t>r</m:t>
        </m:r>
      </m:oMath>
      <w:r>
        <w:t xml:space="preserve">, onde cada coluna</w:t>
      </w:r>
      <w:r>
        <w:t xml:space="preserve"> </w:t>
      </w:r>
      <m:oMath>
        <m:r>
          <m:t>i</m:t>
        </m:r>
      </m:oMath>
      <w:r>
        <w:t xml:space="preserve"> </w:t>
      </w:r>
      <w:r>
        <w:t xml:space="preserve">contém</w:t>
      </w:r>
      <w:r>
        <w:t xml:space="preserve"> </w:t>
      </w:r>
      <m:oMath>
        <m:sSub>
          <m:e>
            <m:r>
              <m:t>d</m:t>
            </m:r>
          </m:e>
          <m:sub>
            <m:r>
              <m:t>i</m:t>
            </m:r>
            <m:r>
              <m:t>j</m:t>
            </m:r>
          </m:sub>
        </m:sSub>
      </m:oMath>
      <w:r>
        <w:t xml:space="preserve"> </w:t>
      </w:r>
      <w:r>
        <w:t xml:space="preserve">falhas e</w:t>
      </w:r>
      <w:r>
        <w:t xml:space="preserve"> </w:t>
      </w:r>
      <m:oMath>
        <m:sSub>
          <m:e>
            <m:r>
              <m:t>n</m:t>
            </m:r>
          </m:e>
          <m:sub>
            <m:r>
              <m:t>i</m:t>
            </m:r>
            <m:r>
              <m:t>j</m:t>
            </m:r>
          </m:sub>
        </m:sSub>
        <m:r>
          <m:rPr>
            <m:sty m:val="p"/>
          </m:rPr>
          <m:t>−</m:t>
        </m:r>
        <m:sSub>
          <m:e>
            <m:r>
              <m:t>d</m:t>
            </m:r>
          </m:e>
          <m:sub>
            <m:r>
              <m:t>i</m:t>
            </m:r>
            <m:r>
              <m:t>j</m:t>
            </m:r>
          </m:sub>
        </m:sSub>
      </m:oMath>
      <w:r>
        <w:t xml:space="preserve"> </w:t>
      </w:r>
      <w:r>
        <w:t xml:space="preserve">sobreviventes. Dessa forma, a</w:t>
      </w:r>
      <w:r>
        <w:t xml:space="preserve"> </w:t>
      </w:r>
      <w:hyperlink w:anchor="tbl-ExampleTableContig">
        <w:r>
          <w:rPr>
            <w:rStyle w:val="Hyperlink"/>
          </w:rPr>
          <w:t xml:space="preserve">Tabela 2.1</w:t>
        </w:r>
      </w:hyperlink>
      <w:r>
        <w:t xml:space="preserve"> </w:t>
      </w:r>
      <w:r>
        <w:t xml:space="preserve">seria estendida para ter</w:t>
      </w:r>
      <w:r>
        <w:t xml:space="preserve"> </w:t>
      </w:r>
      <m:oMath>
        <m:r>
          <m:t>r</m:t>
        </m:r>
      </m:oMath>
      <w:r>
        <w:t xml:space="preserve"> </w:t>
      </w:r>
      <w:r>
        <w:t xml:space="preserve">colunas em vez de apenas duas.</w:t>
      </w:r>
    </w:p>
    <w:p>
      <w:pPr>
        <w:pStyle w:val="BodyText"/>
      </w:pPr>
      <w:r>
        <w:t xml:space="preserve">Condicionada à experiência de falha e censura até o tempo</w:t>
      </w:r>
      <w:r>
        <w:t xml:space="preserve"> </w:t>
      </w:r>
      <m:oMath>
        <m:sSub>
          <m:e>
            <m:r>
              <m:t>t</m:t>
            </m:r>
          </m:e>
          <m:sub>
            <m:r>
              <m:t>j</m:t>
            </m:r>
          </m:sub>
        </m:sSub>
      </m:oMath>
      <w:r>
        <w:t xml:space="preserve"> </w:t>
      </w:r>
      <w:r>
        <w:t xml:space="preserve">e ao número total de falhas no tempo</w:t>
      </w:r>
      <w:r>
        <w:t xml:space="preserve"> </w:t>
      </w:r>
      <m:oMath>
        <m:sSub>
          <m:e>
            <m:r>
              <m:t>t</m:t>
            </m:r>
          </m:e>
          <m:sub>
            <m:r>
              <m:t>j</m:t>
            </m:r>
          </m:sub>
        </m:sSub>
      </m:oMath>
      <w:r>
        <w:t xml:space="preserve">, a distribuição conjunta de</w:t>
      </w:r>
      <w:r>
        <w:t xml:space="preserve"> </w:t>
      </w:r>
      <m:oMath>
        <m:sSub>
          <m:e>
            <m:r>
              <m:t>d</m:t>
            </m:r>
          </m:e>
          <m:sub>
            <m:r>
              <m:t>2</m:t>
            </m:r>
            <m:r>
              <m:t>j</m:t>
            </m:r>
          </m:sub>
        </m:sSub>
        <m:r>
          <m:rPr>
            <m:sty m:val="p"/>
          </m:rPr>
          <m:t>,</m:t>
        </m:r>
        <m:r>
          <m:rPr>
            <m:sty m:val="p"/>
          </m:rPr>
          <m:t>…</m:t>
        </m:r>
        <m:r>
          <m:rPr>
            <m:sty m:val="p"/>
          </m:rPr>
          <m:t>,</m:t>
        </m:r>
        <m:sSub>
          <m:e>
            <m:r>
              <m:t>d</m:t>
            </m:r>
          </m:e>
          <m:sub>
            <m:r>
              <m:t>r</m:t>
            </m:r>
            <m:r>
              <m:t>j</m:t>
            </m:r>
          </m:sub>
        </m:sSub>
      </m:oMath>
      <w:r>
        <w:t xml:space="preserve"> </w:t>
      </w:r>
      <w:r>
        <w:t xml:space="preserve">segue uma hipergeométrica multivariada, dada por:</w:t>
      </w:r>
    </w:p>
    <w:p>
      <w:pPr>
        <w:pStyle w:val="BodyText"/>
      </w:pPr>
      <m:oMathPara>
        <m:oMathParaPr>
          <m:jc m:val="center"/>
        </m:oMathParaPr>
        <m:oMath>
          <m:f>
            <m:fPr>
              <m:type m:val="bar"/>
            </m:fPr>
            <m:num>
              <m:nary>
                <m:naryPr>
                  <m:chr m:val="∏"/>
                  <m:limLoc m:val="undOvr"/>
                  <m:subHide m:val="off"/>
                  <m:supHide m:val="off"/>
                </m:naryPr>
                <m:sub>
                  <m:r>
                    <m:t>i</m:t>
                  </m:r>
                  <m:r>
                    <m:rPr>
                      <m:sty m:val="p"/>
                    </m:rPr>
                    <m:t>=</m:t>
                  </m:r>
                  <m:r>
                    <m:t>1</m:t>
                  </m:r>
                </m:sub>
                <m:sup>
                  <m:r>
                    <m:t>r</m:t>
                  </m:r>
                </m:sup>
                <m:e>
                  <m:d>
                    <m:dPr>
                      <m:begChr m:val="("/>
                      <m:endChr m:val=")"/>
                      <m:sepChr m:val=""/>
                      <m:grow/>
                    </m:dPr>
                    <m:e>
                      <m:f>
                        <m:fPr>
                          <m:type m:val="noBar"/>
                        </m:fPr>
                        <m:num>
                          <m:sSub>
                            <m:e>
                              <m:r>
                                <m:t>n</m:t>
                              </m:r>
                            </m:e>
                            <m:sub>
                              <m:r>
                                <m:t>i</m:t>
                              </m:r>
                              <m:r>
                                <m:t>j</m:t>
                              </m:r>
                            </m:sub>
                          </m:sSub>
                        </m:num>
                        <m:den>
                          <m:sSub>
                            <m:e>
                              <m:r>
                                <m:t>d</m:t>
                              </m:r>
                            </m:e>
                            <m:sub>
                              <m:r>
                                <m:t>i</m:t>
                              </m:r>
                              <m:r>
                                <m:t>j</m:t>
                              </m:r>
                            </m:sub>
                          </m:sSub>
                        </m:den>
                      </m:f>
                    </m:e>
                  </m:d>
                </m:e>
              </m:nary>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i</m:t>
            </m:r>
            <m:r>
              <m:t>j</m:t>
            </m:r>
          </m:sub>
        </m:sSub>
      </m:oMath>
      <w:r>
        <w:t xml:space="preserve"> </w:t>
      </w:r>
      <w:r>
        <w:t xml:space="preserve">é</w:t>
      </w:r>
      <w:r>
        <w:t xml:space="preserve"> </w:t>
      </w:r>
      <m:oMath>
        <m:sSub>
          <m:e>
            <m:r>
              <m:t>w</m:t>
            </m:r>
          </m:e>
          <m:sub>
            <m:r>
              <m:t>i</m:t>
            </m:r>
            <m:r>
              <m:t>j</m:t>
            </m:r>
          </m:sub>
        </m:sSub>
        <m:r>
          <m:rPr>
            <m:sty m:val="p"/>
          </m:rPr>
          <m:t>=</m:t>
        </m:r>
        <m:sSub>
          <m:e>
            <m:r>
              <m:t>n</m:t>
            </m:r>
          </m:e>
          <m:sub>
            <m:r>
              <m:t>i</m:t>
            </m:r>
            <m:r>
              <m:t>j</m:t>
            </m:r>
          </m:sub>
        </m:sSub>
        <m:sSub>
          <m:e>
            <m:r>
              <m:t>d</m:t>
            </m:r>
          </m:e>
          <m:sub>
            <m:r>
              <m:t>j</m:t>
            </m:r>
          </m:sub>
        </m:sSub>
        <m:sSubSup>
          <m:e>
            <m:r>
              <m:t>n</m:t>
            </m:r>
          </m:e>
          <m:sub>
            <m:r>
              <m:t>j</m:t>
            </m:r>
          </m:sub>
          <m:sup>
            <m:r>
              <m:rPr>
                <m:sty m:val="p"/>
              </m:rPr>
              <m:t>−</m:t>
            </m:r>
            <m:r>
              <m:t>1</m:t>
            </m:r>
          </m:sup>
        </m:sSubSup>
      </m:oMath>
      <w:r>
        <w:t xml:space="preserve">, bem como a variância de</w:t>
      </w:r>
      <w:r>
        <w:t xml:space="preserve"> </w:t>
      </w:r>
      <m:oMath>
        <m:sSub>
          <m:e>
            <m:r>
              <m:t>d</m:t>
            </m:r>
          </m:e>
          <m:sub>
            <m:r>
              <m:t>i</m:t>
            </m:r>
            <m:r>
              <m:t>j</m:t>
            </m:r>
          </m:sub>
        </m:sSub>
      </m:oMath>
      <w:r>
        <w:t xml:space="preserve"> </w:t>
      </w:r>
      <w:r>
        <w:t xml:space="preserve">e a covariância de</w:t>
      </w:r>
      <w:r>
        <w:t xml:space="preserve"> </w:t>
      </w:r>
      <m:oMath>
        <m:sSub>
          <m:e>
            <m:r>
              <m:t>d</m:t>
            </m:r>
          </m:e>
          <m:sub>
            <m:r>
              <m:t>i</m:t>
            </m:r>
            <m:r>
              <m:t>j</m:t>
            </m:r>
          </m:sub>
        </m:sSub>
      </m:oMath>
      <w:r>
        <w:t xml:space="preserve"> </w:t>
      </w:r>
      <w:r>
        <w:t xml:space="preserve">e</w:t>
      </w:r>
      <w:r>
        <w:t xml:space="preserve"> </w:t>
      </w:r>
      <m:oMath>
        <m:sSub>
          <m:e>
            <m:r>
              <m:t>d</m:t>
            </m:r>
          </m:e>
          <m:sub>
            <m:r>
              <m:t>l</m:t>
            </m:r>
            <m:r>
              <m:t>j</m:t>
            </m:r>
          </m:sub>
        </m:sSub>
      </m:oMath>
      <w:r>
        <w:t xml:space="preserve"> </w:t>
      </w:r>
      <w:r>
        <w:t xml:space="preserve">são, respectivamente,</w:t>
      </w:r>
    </w:p>
    <w:p>
      <w:pPr>
        <w:pStyle w:val="BodyText"/>
      </w:pPr>
      <m:oMathPara>
        <m:oMathParaPr>
          <m:jc m:val="center"/>
        </m:oMathParaPr>
        <m:oMath>
          <m:sSub>
            <m:e>
              <m:d>
                <m:dPr>
                  <m:begChr m:val="("/>
                  <m:endChr m:val=")"/>
                  <m:sepChr m:val=""/>
                  <m:grow/>
                </m:dPr>
                <m:e>
                  <m:sSub>
                    <m:e>
                      <m:r>
                        <m:t>V</m:t>
                      </m:r>
                    </m:e>
                    <m:sub>
                      <m:r>
                        <m:t>j</m:t>
                      </m:r>
                    </m:sub>
                  </m:sSub>
                </m:e>
              </m:d>
            </m:e>
            <m:sub>
              <m:r>
                <m:t>i</m:t>
              </m:r>
              <m:r>
                <m:t>i</m:t>
              </m:r>
            </m:sub>
          </m:sSub>
          <m:r>
            <m:rPr>
              <m:sty m:val="p"/>
            </m:rPr>
            <m:t>=</m:t>
          </m:r>
          <m:sSub>
            <m:e>
              <m:r>
                <m:t>n</m:t>
              </m:r>
            </m:e>
            <m:sub>
              <m:r>
                <m:t>i</m:t>
              </m:r>
              <m:r>
                <m:t>j</m:t>
              </m:r>
            </m:sub>
          </m:sSub>
          <m:d>
            <m:dPr>
              <m:begChr m:val="("/>
              <m:endChr m:val=")"/>
              <m:sepChr m:val=""/>
              <m:grow/>
            </m:dPr>
            <m:e>
              <m:sSub>
                <m:e>
                  <m:r>
                    <m:t>n</m:t>
                  </m:r>
                </m:e>
                <m:sub>
                  <m:r>
                    <m:t>j</m:t>
                  </m:r>
                </m:sub>
              </m:sSub>
              <m:r>
                <m:rPr>
                  <m:sty m:val="p"/>
                </m:rPr>
                <m:t>−</m:t>
              </m:r>
              <m:sSub>
                <m:e>
                  <m:r>
                    <m:t>n</m:t>
                  </m:r>
                </m:e>
                <m:sub>
                  <m:r>
                    <m:t>i</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oMath>
      </m:oMathPara>
    </w:p>
    <w:p>
      <w:pPr>
        <w:pStyle w:val="FirstParagraph"/>
      </w:pPr>
      <w:r>
        <w:t xml:space="preserve">e</w:t>
      </w:r>
    </w:p>
    <w:p>
      <w:pPr>
        <w:pStyle w:val="BodyText"/>
      </w:pPr>
      <m:oMathPara>
        <m:oMathParaPr>
          <m:jc m:val="center"/>
        </m:oMathParaPr>
        <m:oMath>
          <m:sSub>
            <m:e>
              <m:d>
                <m:dPr>
                  <m:begChr m:val="("/>
                  <m:endChr m:val=")"/>
                  <m:sepChr m:val=""/>
                  <m:grow/>
                </m:dPr>
                <m:e>
                  <m:sSub>
                    <m:e>
                      <m:r>
                        <m:t>V</m:t>
                      </m:r>
                    </m:e>
                    <m:sub>
                      <m:r>
                        <m:t>j</m:t>
                      </m:r>
                    </m:sub>
                  </m:sSub>
                </m:e>
              </m:d>
            </m:e>
            <m:sub>
              <m:r>
                <m:t>i</m:t>
              </m:r>
              <m:r>
                <m:t>l</m:t>
              </m:r>
            </m:sub>
          </m:sSub>
          <m:r>
            <m:rPr>
              <m:sty m:val="p"/>
            </m:rPr>
            <m:t>=</m:t>
          </m:r>
          <m:r>
            <m:rPr>
              <m:sty m:val="p"/>
            </m:rPr>
            <m:t>−</m:t>
          </m:r>
          <m:sSub>
            <m:e>
              <m:r>
                <m:t>n</m:t>
              </m:r>
            </m:e>
            <m:sub>
              <m:r>
                <m:t>i</m:t>
              </m:r>
              <m:r>
                <m:t>j</m:t>
              </m:r>
            </m:sub>
          </m:sSub>
          <m:sSub>
            <m:e>
              <m:r>
                <m:t>n</m:t>
              </m:r>
            </m:e>
            <m:sub>
              <m:r>
                <m:t>l</m:t>
              </m:r>
              <m:r>
                <m:t>j</m:t>
              </m:r>
            </m:sub>
          </m:sSub>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A estatística</w:t>
      </w:r>
      <w:r>
        <w:t xml:space="preserve"> </w:t>
      </w:r>
      <m:oMath>
        <m:r>
          <m:t>v</m:t>
        </m:r>
        <m:sSub>
          <m:e>
            <m:r>
              <m:rPr>
                <m:sty m:val="p"/>
              </m:rPr>
              <m:t>′</m:t>
            </m:r>
          </m:e>
          <m:sub>
            <m:r>
              <m:t>j</m:t>
            </m:r>
          </m:sub>
        </m:sSub>
        <m:r>
          <m:rPr>
            <m:sty m:val="p"/>
          </m:rPr>
          <m:t>=</m:t>
        </m:r>
        <m:d>
          <m:dPr>
            <m:begChr m:val="("/>
            <m:endChr m:val=")"/>
            <m:sepChr m:val=""/>
            <m:grow/>
          </m:dPr>
          <m:e>
            <m:sSub>
              <m:e>
                <m:r>
                  <m:t>d</m:t>
                </m:r>
              </m:e>
              <m:sub>
                <m:r>
                  <m:t>2</m:t>
                </m:r>
                <m:r>
                  <m:t>j</m:t>
                </m:r>
              </m:sub>
            </m:sSub>
            <m:r>
              <m:rPr>
                <m:sty m:val="p"/>
              </m:rPr>
              <m:t>−</m:t>
            </m:r>
            <m:sSub>
              <m:e>
                <m:r>
                  <m:t>w</m:t>
                </m:r>
              </m:e>
              <m:sub>
                <m:r>
                  <m:t>2</m:t>
                </m:r>
                <m:r>
                  <m:t>j</m:t>
                </m:r>
              </m:sub>
            </m:sSub>
            <m:r>
              <m:rPr>
                <m:sty m:val="p"/>
              </m:rPr>
              <m:t>,</m:t>
            </m:r>
            <m:r>
              <m:rPr>
                <m:sty m:val="p"/>
              </m:rPr>
              <m:t>…</m:t>
            </m:r>
            <m:r>
              <m:rPr>
                <m:sty m:val="p"/>
              </m:rPr>
              <m:t>,</m:t>
            </m:r>
            <m:sSub>
              <m:e>
                <m:r>
                  <m:t>d</m:t>
                </m:r>
              </m:e>
              <m:sub>
                <m:r>
                  <m:t>r</m:t>
                </m:r>
                <m:r>
                  <m:t>j</m:t>
                </m:r>
              </m:sub>
            </m:sSub>
            <m:r>
              <m:rPr>
                <m:sty m:val="p"/>
              </m:rPr>
              <m:t>−</m:t>
            </m:r>
            <m:sSub>
              <m:e>
                <m:r>
                  <m:t>w</m:t>
                </m:r>
              </m:e>
              <m:sub>
                <m:r>
                  <m:t>r</m:t>
                </m:r>
                <m:r>
                  <m:t>j</m:t>
                </m:r>
              </m:sub>
            </m:sSub>
          </m:e>
        </m:d>
      </m:oMath>
      <w:r>
        <w:t xml:space="preserve"> </w:t>
      </w:r>
      <w:r>
        <w:t xml:space="preserve">possui média zero e matriz de variância-covariância</w:t>
      </w:r>
      <w:r>
        <w:t xml:space="preserve"> </w:t>
      </w:r>
      <m:oMath>
        <m:sSub>
          <m:e>
            <m:r>
              <m:t>V</m:t>
            </m:r>
          </m:e>
          <m:sub>
            <m:r>
              <m:t>j</m:t>
            </m:r>
          </m:sub>
        </m:sSub>
      </m:oMath>
      <w:r>
        <w:t xml:space="preserve">, com dimensão</w:t>
      </w:r>
      <w:r>
        <w:t xml:space="preserve"> </w:t>
      </w:r>
      <m:oMath>
        <m:r>
          <m:t>r</m:t>
        </m:r>
        <m:r>
          <m:rPr>
            <m:sty m:val="p"/>
          </m:rPr>
          <m:t>−</m:t>
        </m:r>
        <m:r>
          <m:t>1</m:t>
        </m:r>
      </m:oMath>
      <w:r>
        <w:t xml:space="preserve">. A matriz</w:t>
      </w:r>
      <w:r>
        <w:t xml:space="preserve"> </w:t>
      </w:r>
      <m:oMath>
        <m:sSub>
          <m:e>
            <m:r>
              <m:t>V</m:t>
            </m:r>
          </m:e>
          <m:sub>
            <m:r>
              <m:t>j</m:t>
            </m:r>
          </m:sub>
        </m:sSub>
      </m:oMath>
      <w:r>
        <w:t xml:space="preserve"> </w:t>
      </w:r>
      <w:r>
        <w:t xml:space="preserve">contém os termos</w:t>
      </w:r>
      <w:r>
        <w:t xml:space="preserve"> </w:t>
      </w:r>
      <m:oMath>
        <m:d>
          <m:dPr>
            <m:begChr m:val="("/>
            <m:endChr m:val=")"/>
            <m:sepChr m:val=""/>
            <m:grow/>
          </m:dPr>
          <m:e>
            <m:sSub>
              <m:e>
                <m:r>
                  <m:t>V</m:t>
                </m:r>
              </m:e>
              <m:sub>
                <m:r>
                  <m:t>j</m:t>
                </m:r>
              </m:sub>
            </m:sSub>
          </m:e>
        </m:d>
        <m:r>
          <m:t>i</m:t>
        </m:r>
        <m:r>
          <m:t>i</m:t>
        </m:r>
      </m:oMath>
      <w:r>
        <w:t xml:space="preserve"> </w:t>
      </w:r>
      <w:r>
        <w:t xml:space="preserve">na diagonal principal e</w:t>
      </w:r>
      <w:r>
        <w:t xml:space="preserve"> </w:t>
      </w:r>
      <m:oMath>
        <m:sSub>
          <m:e>
            <m:d>
              <m:dPr>
                <m:begChr m:val="("/>
                <m:endChr m:val=")"/>
                <m:sepChr m:val=""/>
                <m:grow/>
              </m:dPr>
              <m:e>
                <m:sSub>
                  <m:e>
                    <m:r>
                      <m:t>V</m:t>
                    </m:r>
                  </m:e>
                  <m:sub>
                    <m:r>
                      <m:t>j</m:t>
                    </m:r>
                  </m:sub>
                </m:sSub>
              </m:e>
            </m:d>
          </m:e>
          <m:sub>
            <m:r>
              <m:t>i</m:t>
            </m:r>
            <m:r>
              <m:t>l</m:t>
            </m:r>
          </m:sub>
        </m:sSub>
      </m:oMath>
      <w:r>
        <w:t xml:space="preserve">,</w:t>
      </w:r>
      <w:r>
        <w:t xml:space="preserve"> </w:t>
      </w:r>
      <m:oMath>
        <m:r>
          <m:t>i</m:t>
        </m:r>
        <m:r>
          <m:rPr>
            <m:sty m:val="p"/>
          </m:rPr>
          <m:t>,</m:t>
        </m:r>
        <m:r>
          <m:t>l</m:t>
        </m:r>
        <m:r>
          <m:rPr>
            <m:sty m:val="p"/>
          </m:rPr>
          <m:t>=</m:t>
        </m:r>
        <m:r>
          <m:t>2</m:t>
        </m:r>
        <m:r>
          <m:rPr>
            <m:sty m:val="p"/>
          </m:rPr>
          <m:t>,</m:t>
        </m:r>
        <m:r>
          <m:rPr>
            <m:sty m:val="p"/>
          </m:rPr>
          <m:t>…</m:t>
        </m:r>
        <m:r>
          <m:rPr>
            <m:sty m:val="p"/>
          </m:rPr>
          <m:t>,</m:t>
        </m:r>
        <m:r>
          <m:t>r</m:t>
        </m:r>
      </m:oMath>
      <w:r>
        <w:t xml:space="preserve">, fora da diagonal principal.</w:t>
      </w:r>
    </w:p>
    <w:p>
      <w:pPr>
        <w:pStyle w:val="BodyText"/>
      </w:pPr>
      <w:r>
        <w:t xml:space="preserve">A estatística</w:t>
      </w:r>
      <w:r>
        <w:t xml:space="preserve"> </w:t>
      </w:r>
      <m:oMath>
        <m:r>
          <m:t>v</m:t>
        </m:r>
      </m:oMath>
      <w:r>
        <w:t xml:space="preserve">, que agrega as contribuições de todos os tempos distintos de falha, é definida como:</w:t>
      </w:r>
    </w:p>
    <w:p>
      <w:pPr>
        <w:pStyle w:val="BodyText"/>
      </w:pPr>
      <m:oMathPara>
        <m:oMathParaPr>
          <m:jc m:val="center"/>
        </m:oMathParaPr>
        <m:oMath>
          <m:r>
            <m:t>v</m:t>
          </m:r>
          <m:r>
            <m:rPr>
              <m:sty m:val="p"/>
            </m:rPr>
            <m:t>=</m:t>
          </m:r>
          <m:nary>
            <m:naryPr>
              <m:chr m:val="∑"/>
              <m:limLoc m:val="undOvr"/>
              <m:subHide m:val="off"/>
              <m:supHide m:val="off"/>
            </m:naryPr>
            <m:sub>
              <m:r>
                <m:t>j</m:t>
              </m:r>
              <m:r>
                <m:rPr>
                  <m:sty m:val="p"/>
                </m:rPr>
                <m:t>=</m:t>
              </m:r>
              <m:r>
                <m:t>1</m:t>
              </m:r>
            </m:sub>
            <m:sup>
              <m:r>
                <m:t>k</m:t>
              </m:r>
            </m:sup>
            <m:e>
              <m:sSub>
                <m:e>
                  <m:r>
                    <m:t>v</m:t>
                  </m:r>
                </m:e>
                <m:sub>
                  <m:r>
                    <m:t>j</m:t>
                  </m:r>
                </m:sub>
              </m:sSub>
            </m:e>
          </m:nary>
          <m:r>
            <m:rPr>
              <m:sty m:val="p"/>
            </m:rPr>
            <m:t>,</m:t>
          </m:r>
        </m:oMath>
      </m:oMathPara>
    </w:p>
    <w:p>
      <w:pPr>
        <w:pStyle w:val="FirstParagraph"/>
      </w:pPr>
      <w:r>
        <w:t xml:space="preserve">onde</w:t>
      </w:r>
      <w:r>
        <w:t xml:space="preserve"> </w:t>
      </w:r>
      <m:oMath>
        <m:r>
          <m:t>v</m:t>
        </m:r>
      </m:oMath>
      <w:r>
        <w:t xml:space="preserve"> </w:t>
      </w:r>
      <w:r>
        <w:t xml:space="preserve">é um vetor de dimensão</w:t>
      </w:r>
      <w:r>
        <w:t xml:space="preserve"> </w:t>
      </w:r>
      <m:oMath>
        <m:d>
          <m:dPr>
            <m:begChr m:val="("/>
            <m:endChr m:val=")"/>
            <m:sepChr m:val=""/>
            <m:grow/>
          </m:dPr>
          <m:e>
            <m:r>
              <m:t>r</m:t>
            </m:r>
            <m:r>
              <m:rPr>
                <m:sty m:val="p"/>
              </m:rPr>
              <m:t>−</m:t>
            </m:r>
            <m:r>
              <m:t>1</m:t>
            </m:r>
          </m:e>
        </m:d>
        <m:r>
          <m:rPr>
            <m:sty m:val="p"/>
          </m:rPr>
          <m:t>×</m:t>
        </m:r>
        <m:r>
          <m:t>1</m:t>
        </m:r>
      </m:oMath>
      <w:r>
        <w:t xml:space="preserve">, cujos elementos correspondem às diferenças entre os totais observados e esperados de falhas.</w:t>
      </w:r>
    </w:p>
    <w:p>
      <w:pPr>
        <w:pStyle w:val="BodyText"/>
      </w:pPr>
      <w:r>
        <w:t xml:space="preserve">Considerando, novamente, a independência das</w:t>
      </w:r>
      <w:r>
        <w:t xml:space="preserve"> </w:t>
      </w:r>
      <m:oMath>
        <m:r>
          <m:t>k</m:t>
        </m:r>
      </m:oMath>
      <w:r>
        <w:t xml:space="preserve"> </w:t>
      </w:r>
      <w:r>
        <w:t xml:space="preserve">tabelas de contingência, a variância de</w:t>
      </w:r>
      <w:r>
        <w:t xml:space="preserve"> </w:t>
      </w:r>
      <m:oMath>
        <m:r>
          <m:t>v</m:t>
        </m:r>
      </m:oMath>
      <w:r>
        <w:t xml:space="preserve"> </w:t>
      </w:r>
      <w:r>
        <w:t xml:space="preserve">é dada por</w:t>
      </w:r>
      <w:r>
        <w:t xml:space="preserve"> </w:t>
      </w:r>
      <m:oMath>
        <m:r>
          <m:t>V</m:t>
        </m:r>
        <m:r>
          <m:rPr>
            <m:sty m:val="p"/>
          </m:rPr>
          <m:t>=</m:t>
        </m:r>
        <m:sSub>
          <m:e>
            <m:r>
              <m:t>V</m:t>
            </m:r>
          </m:e>
          <m:sub>
            <m:r>
              <m:t>1</m:t>
            </m:r>
          </m:sub>
        </m:sSub>
        <m:r>
          <m:rPr>
            <m:sty m:val="p"/>
          </m:rPr>
          <m:t>+</m:t>
        </m:r>
        <m:r>
          <m:rPr>
            <m:sty m:val="p"/>
          </m:rPr>
          <m:t>…</m:t>
        </m:r>
        <m:r>
          <m:rPr>
            <m:sty m:val="p"/>
          </m:rPr>
          <m:t>+</m:t>
        </m:r>
        <m:sSub>
          <m:e>
            <m:r>
              <m:t>V</m:t>
            </m:r>
          </m:e>
          <m:sub>
            <m:r>
              <m:t>k</m:t>
            </m:r>
          </m:sub>
        </m:sSub>
      </m:oMath>
      <w:r>
        <w:t xml:space="preserve">. Um teste aproximado para a igualdade das</w:t>
      </w:r>
      <w:r>
        <w:t xml:space="preserve"> </w:t>
      </w:r>
      <m:oMath>
        <m:r>
          <m:t>r</m:t>
        </m:r>
      </m:oMath>
      <w:r>
        <w:t xml:space="preserve"> </w:t>
      </w:r>
      <w:r>
        <w:t xml:space="preserve">funções de sobrevivência pode ser baseado na estatística:</w:t>
      </w:r>
    </w:p>
    <w:p>
      <w:pPr>
        <w:pStyle w:val="BodyText"/>
      </w:pPr>
      <w:bookmarkStart w:id="57" w:name="eq-EstTestelogrankGeneralizado"/>
      <m:oMathPara>
        <m:oMathParaPr>
          <m:jc m:val="center"/>
        </m:oMathParaPr>
        <m:oMath>
          <m:r>
            <m:t>T</m:t>
          </m:r>
          <m:r>
            <m:rPr>
              <m:sty m:val="p"/>
            </m:rPr>
            <m:t>=</m:t>
          </m:r>
          <m:r>
            <m:t>v</m:t>
          </m:r>
          <m:r>
            <m:rPr>
              <m:sty m:val="p"/>
            </m:rPr>
            <m:t>´</m:t>
          </m:r>
          <m:sSup>
            <m:e>
              <m:r>
                <m:t>V</m:t>
              </m:r>
            </m:e>
            <m:sup>
              <m:r>
                <m:rPr>
                  <m:sty m:val="p"/>
                </m:rPr>
                <m:t>−</m:t>
              </m:r>
              <m:r>
                <m:t>1</m:t>
              </m:r>
            </m:sup>
          </m:sSup>
          <m:r>
            <m:t>v</m:t>
          </m:r>
          <m:r>
            <m:rPr>
              <m:sty m:val="p"/>
            </m:rPr>
            <m:t>,</m:t>
          </m:r>
          <m:r>
            <m:t>  </m:t>
          </m:r>
          <m:d>
            <m:dPr>
              <m:begChr m:val="("/>
              <m:endChr m:val=")"/>
              <m:sepChr m:val=""/>
              <m:grow/>
            </m:dPr>
            <m:e>
              <m:r>
                <m:t>2.8</m:t>
              </m:r>
            </m:e>
          </m:d>
        </m:oMath>
      </m:oMathPara>
      <w:bookmarkEnd w:id="57"/>
    </w:p>
    <w:p>
      <w:pPr>
        <w:pStyle w:val="FirstParagraph"/>
      </w:pPr>
      <w:r>
        <w:t xml:space="preserve">que, sob a hipótese nula</w:t>
      </w:r>
      <w:r>
        <w:t xml:space="preserve"> </w:t>
      </w:r>
      <m:oMath>
        <m:sSub>
          <m:e>
            <m:r>
              <m:t>H</m:t>
            </m:r>
          </m:e>
          <m:sub>
            <m:r>
              <m:t>0</m:t>
            </m:r>
          </m:sub>
        </m:sSub>
      </m:oMath>
      <w:r>
        <w:t xml:space="preserve"> </w:t>
      </w:r>
      <w:r>
        <w:t xml:space="preserve">(igualdade das curvas de sobrevivência), segue uma distribuição qui-quadrado com</w:t>
      </w:r>
      <w:r>
        <w:t xml:space="preserve"> </w:t>
      </w:r>
      <m:oMath>
        <m:r>
          <m:t>r</m:t>
        </m:r>
        <m:r>
          <m:rPr>
            <m:sty m:val="p"/>
          </m:rPr>
          <m:t>−</m:t>
        </m:r>
        <m:r>
          <m:t>1</m:t>
        </m:r>
      </m:oMath>
      <w:r>
        <w:t xml:space="preserve"> </w:t>
      </w:r>
      <w:r>
        <w:t xml:space="preserve">graus de liberdade para amostras grandes. Os graus de liberdade são</w:t>
      </w:r>
      <w:r>
        <w:t xml:space="preserve"> </w:t>
      </w:r>
      <m:oMath>
        <m:r>
          <m:t>r</m:t>
        </m:r>
        <m:r>
          <m:rPr>
            <m:sty m:val="p"/>
          </m:rPr>
          <m:t>−</m:t>
        </m:r>
        <m:r>
          <m:t>1</m:t>
        </m:r>
      </m:oMath>
      <w:r>
        <w:t xml:space="preserve"> </w:t>
      </w:r>
      <w:r>
        <w:t xml:space="preserve">em vez de</w:t>
      </w:r>
      <w:r>
        <w:t xml:space="preserve"> </w:t>
      </w:r>
      <m:oMath>
        <m:r>
          <m:t>r</m:t>
        </m:r>
      </m:oMath>
      <w:r>
        <w:t xml:space="preserve">, pois os elementos de</w:t>
      </w:r>
      <w:r>
        <w:t xml:space="preserve"> </w:t>
      </w:r>
      <m:oMath>
        <m:r>
          <m:t>v</m:t>
        </m:r>
      </m:oMath>
      <w:r>
        <w:t xml:space="preserve"> </w:t>
      </w:r>
      <w:r>
        <w:t xml:space="preserve">somam zero.</w:t>
      </w:r>
    </w:p>
    <w:p>
      <w:pPr>
        <w:pStyle w:val="BodyText"/>
      </w:pPr>
      <w:r>
        <w:t xml:space="preserve">Uma aplicação para a comparação de</w:t>
      </w:r>
      <w:r>
        <w:t xml:space="preserve"> </w:t>
      </w:r>
      <m:oMath>
        <m:r>
          <m:t>r</m:t>
        </m:r>
      </m:oMath>
      <w:r>
        <w:t xml:space="preserve"> </w:t>
      </w:r>
      <w:r>
        <w:t xml:space="preserve">curvas de sobrevivência […].</w:t>
      </w:r>
    </w:p>
    <w:p>
      <w:pPr>
        <w:pStyle w:val="SourceCode"/>
      </w:pPr>
      <w:r>
        <w:rPr>
          <w:rStyle w:val="FunctionTok"/>
        </w:rPr>
        <w:t xml:space="preserve">cat</w:t>
      </w:r>
      <w:r>
        <w:rPr>
          <w:rStyle w:val="NormalTok"/>
        </w:rPr>
        <w:t xml:space="preserve">(</w:t>
      </w:r>
      <w:r>
        <w:rPr>
          <w:rStyle w:val="StringTok"/>
        </w:rPr>
        <w:t xml:space="preserve">"Código em R a ser preenchido"</w:t>
      </w:r>
      <w:r>
        <w:rPr>
          <w:rStyle w:val="NormalTok"/>
        </w:rPr>
        <w:t xml:space="preserve">)</w:t>
      </w:r>
    </w:p>
    <w:p>
      <w:pPr>
        <w:pStyle w:val="SourceCode"/>
      </w:pPr>
      <w:r>
        <w:rPr>
          <w:rStyle w:val="VerbatimChar"/>
        </w:rPr>
        <w:t xml:space="preserve">Código em R a ser preenchido</w:t>
      </w:r>
    </w:p>
    <w:bookmarkStart w:id="58" w:name="outros-testes"/>
    <w:p>
      <w:pPr>
        <w:pStyle w:val="Heading3"/>
      </w:pPr>
      <w:r>
        <w:t xml:space="preserve">2.4.1 Outros Testes</w:t>
      </w:r>
    </w:p>
    <w:p>
      <w:pPr>
        <w:pStyle w:val="FirstParagraph"/>
      </w:pPr>
      <w:r>
        <w:t xml:space="preserve">[…]</w:t>
      </w:r>
    </w:p>
    <w:bookmarkEnd w:id="58"/>
    <w:bookmarkEnd w:id="59"/>
    <w:bookmarkEnd w:id="60"/>
    <w:bookmarkStart w:id="147" w:name="X597cbc4748de7f31618e130d6a21c3fd90a3a88"/>
    <w:p>
      <w:pPr>
        <w:pStyle w:val="Heading1"/>
      </w:pPr>
      <w:r>
        <w:t xml:space="preserve">3. Técnicas Paramétricas - Modelos Probabilísticos</w:t>
      </w:r>
    </w:p>
    <w:bookmarkStart w:id="61" w:name="introdução-2"/>
    <w:p>
      <w:pPr>
        <w:pStyle w:val="Heading2"/>
      </w:pPr>
      <w:r>
        <w:t xml:space="preserve">3.1 Introdução</w:t>
      </w:r>
    </w:p>
    <w:p>
      <w:pPr>
        <w:pStyle w:val="FirstParagraph"/>
      </w:pPr>
      <w:r>
        <w:t xml:space="preserve">No capítulo anterior, foi apresentada uma abordagem não paramétrica para a análise de dados de sobrevivência, na qual a estimação é realizada sem assumir uma distribuição de probabilidade específica para o tempo de sobrevivência.</w:t>
      </w:r>
    </w:p>
    <w:p>
      <w:pPr>
        <w:pStyle w:val="BodyText"/>
      </w:pPr>
      <w:r>
        <w:t xml:space="preserve">Os estimadores não paramétricos são derivados diretamente do conjunto de dados, pressupondo que o mecanismo gerador das informações opera de maneira distinta em diferentes momentos no tempo, funcionando de forma quase independente. Assim, conclui-se que a abordagem não paramétrica possui tantos parâmetros quanto intervalos de tempo considerados. Contudo, ao incluir covariáveis, o modelo de Kaplan-Meier não permite estimar diretamente o</w:t>
      </w:r>
      <w:r>
        <w:t xml:space="preserve"> </w:t>
      </w:r>
      <w:r>
        <w:t xml:space="preserve">“efeito”</w:t>
      </w:r>
      <w:r>
        <w:t xml:space="preserve"> </w:t>
      </w:r>
      <w:r>
        <w:t xml:space="preserve">dessas covariáveis, limitando-se a comparar e testar a igualdade entre diferentes curvas de sobrevivência.</w:t>
      </w:r>
    </w:p>
    <w:p>
      <w:pPr>
        <w:pStyle w:val="BodyText"/>
      </w:pPr>
      <w:r>
        <w:t xml:space="preserve">Por outro lado, nos modelos de regressão tradicionais, como os modelos</w:t>
      </w:r>
      <w:r>
        <w:t xml:space="preserve"> </w:t>
      </w:r>
      <w:r>
        <w:rPr>
          <w:i/>
          <w:iCs/>
        </w:rPr>
        <w:t xml:space="preserve">linear</w:t>
      </w:r>
      <w:r>
        <w:t xml:space="preserve">,</w:t>
      </w:r>
      <w:r>
        <w:t xml:space="preserve"> </w:t>
      </w:r>
      <w:r>
        <w:rPr>
          <w:i/>
          <w:iCs/>
        </w:rPr>
        <w:t xml:space="preserve">Poisson</w:t>
      </w:r>
      <w:r>
        <w:t xml:space="preserve"> </w:t>
      </w:r>
      <w:r>
        <w:t xml:space="preserve">ou</w:t>
      </w:r>
      <w:r>
        <w:t xml:space="preserve"> </w:t>
      </w:r>
      <w:r>
        <w:rPr>
          <w:i/>
          <w:iCs/>
        </w:rPr>
        <w:t xml:space="preserve">logístico</w:t>
      </w:r>
      <w:r>
        <w:t xml:space="preserve">, a escolha de uma distribuição de probabilidade para a variável resposta</w:t>
      </w:r>
      <w:r>
        <w:t xml:space="preserve"> </w:t>
      </w:r>
      <m:oMath>
        <m:r>
          <m:t>Y</m:t>
        </m:r>
      </m:oMath>
      <w:r>
        <w:t xml:space="preserve"> </w:t>
      </w:r>
      <w:r>
        <w:t xml:space="preserve">e de uma função para a relação entre</w:t>
      </w:r>
      <w:r>
        <w:t xml:space="preserve"> </w:t>
      </w:r>
      <m:oMath>
        <m:r>
          <m:t>Y</m:t>
        </m:r>
      </m:oMath>
      <w:r>
        <w:t xml:space="preserve"> </w:t>
      </w:r>
      <w:r>
        <w:t xml:space="preserve">e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w:t>
      </w:r>
      <w:r>
        <w:t xml:space="preserve">é essencial para identificar o modelo. Ao aplicar esse conceito na análise de sobrevivência, o tempo até a ocorrência de um evento de interesse é tratado como a variável resposta.</w:t>
      </w:r>
    </w:p>
    <w:p>
      <w:pPr>
        <w:pStyle w:val="BodyText"/>
      </w:pPr>
      <w:r>
        <w:t xml:space="preserve">Nesse contexto, este capítulo introduz uma abordagem paramétrica para estimar as funções básicas de sobrevivência. Assume-se que a distribuição de probabilidade do tempo de ocorrência do evento é conhecida, permitindo a estimação dos parâmetros associados ao modelo de forma mais estruturada e eficiente.</w:t>
      </w:r>
    </w:p>
    <w:bookmarkEnd w:id="61"/>
    <w:bookmarkStart w:id="129"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 o</w:t>
      </w:r>
      <w:r>
        <w:t xml:space="preserve"> </w:t>
      </w:r>
      <w:r>
        <w:t xml:space="preserve">“tempo de sobrevivência”</w:t>
      </w:r>
      <w:r>
        <w:t xml:space="preserve">. Qual seria a distribuição de probabilidade mais adequada para representá-la?</w:t>
      </w:r>
    </w:p>
    <w:p>
      <w:pPr>
        <w:pStyle w:val="BodyText"/>
      </w:pPr>
      <w:r>
        <w:t xml:space="preserve">Uma característica fundamental da variável aleatória</w:t>
      </w:r>
      <w:r>
        <w:t xml:space="preserve"> </w:t>
      </w:r>
      <m:oMath>
        <m:r>
          <m:t>T</m:t>
        </m:r>
      </m:oMath>
      <w:r>
        <w:t xml:space="preserve"> </w:t>
      </w:r>
      <w:r>
        <w:t xml:space="preserve">é que ela é contínua e não negativa. Com base nessa propriedade, é possível eliminar algumas distribuições como candidatas adequadas para modelar</w:t>
      </w:r>
      <w:r>
        <w:t xml:space="preserve"> </w:t>
      </w:r>
      <m:oMath>
        <m:r>
          <m:t>T</m:t>
        </m:r>
      </m:oMath>
      <w:r>
        <w:t xml:space="preserve">. Por exemplo, a distribuição normal não é apropriada, pois admite valores negativos, o que contradiz a natureza do tempo de sobrevivência. Além disso, os tempos de sobrevivência frequentemente apresentam uma forte assimetria à direita, reforçando a inadequação da distribuição normal para esse contexto.</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p>
    <w:bookmarkStart w:id="8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62" w:name="eq-densitExp"/>
      <m:oMathPara>
        <m:oMathParaPr>
          <m:jc m:val="center"/>
        </m:oMathParaPr>
        <m:oMath>
          <m:r>
            <m:t>f</m:t>
          </m:r>
          <m:d>
            <m:dPr>
              <m:begChr m:val="("/>
              <m:endChr m:val=")"/>
              <m:sepChr m:val=""/>
              <m:grow/>
            </m:dPr>
            <m:e>
              <m:r>
                <m:t>t</m:t>
              </m:r>
            </m:e>
          </m:d>
          <m:r>
            <m:rPr>
              <m:sty m:val="p"/>
            </m:rPr>
            <m:t>=</m:t>
          </m:r>
          <m:r>
            <m:t>α</m:t>
          </m:r>
          <m:r>
            <m:rPr>
              <m:sty m:val="p"/>
            </m:rPr>
            <m:t>exp</m:t>
          </m:r>
          <m:r>
            <m:rPr>
              <m:sty m:val="p"/>
            </m:rPr>
            <m:t>{</m:t>
          </m:r>
          <m:r>
            <m:rPr>
              <m:sty m:val="p"/>
            </m:rPr>
            <m:t>−</m:t>
          </m:r>
          <m:r>
            <m:t>α</m:t>
          </m:r>
          <m:r>
            <m:t>t</m:t>
          </m:r>
          <m:r>
            <m:rPr>
              <m:sty m:val="p"/>
            </m:rPr>
            <m:t>}</m:t>
          </m:r>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3.1</m:t>
              </m:r>
            </m:e>
          </m:d>
        </m:oMath>
      </m:oMathPara>
      <w:bookmarkEnd w:id="62"/>
    </w:p>
    <w:p>
      <w:pPr>
        <w:pStyle w:val="FirstParagraph"/>
      </w:pPr>
      <w:r>
        <w:t xml:space="preserve">Desta forma, podemos obter a função de sobrevivência com base no completar da distribuição acumulada de</w:t>
      </w:r>
      <w:r>
        <w:t xml:space="preserve"> </w:t>
      </w:r>
      <m:oMath>
        <m:r>
          <m:t>T</m:t>
        </m:r>
      </m:oMath>
      <w:r>
        <w:t xml:space="preserve">:</w:t>
      </w:r>
    </w:p>
    <w:p>
      <w:pPr>
        <w:pStyle w:val="BodyText"/>
      </w:pPr>
      <w:r>
        <w:t xml:space="preserve">Assim definimos, formalmente, a função de sobrevivência como:</w:t>
      </w:r>
    </w:p>
    <w:p>
      <w:pPr>
        <w:pStyle w:val="BodyText"/>
      </w:pPr>
      <w:bookmarkStart w:id="63" w:name="eq-StExp"/>
      <m:oMathPara>
        <m:oMathParaPr>
          <m:jc m:val="center"/>
        </m:oMathParaPr>
        <m:oMath>
          <m:r>
            <m:t>S</m:t>
          </m:r>
          <m:d>
            <m:dPr>
              <m:begChr m:val="("/>
              <m:endChr m:val=")"/>
              <m:sepChr m:val=""/>
              <m:grow/>
            </m:dPr>
            <m:e>
              <m:r>
                <m:t>t</m:t>
              </m:r>
            </m:e>
          </m:d>
          <m:r>
            <m:rPr>
              <m:sty m:val="p"/>
            </m:rPr>
            <m:t>=</m:t>
          </m:r>
          <m:r>
            <m:rPr>
              <m:sty m:val="p"/>
            </m:rPr>
            <m:t>exp</m:t>
          </m:r>
          <m:r>
            <m:rPr>
              <m:sty m:val="p"/>
            </m:rPr>
            <m:t>{</m:t>
          </m:r>
          <m:r>
            <m:rPr>
              <m:sty m:val="p"/>
            </m:rPr>
            <m:t>−</m:t>
          </m:r>
          <m:r>
            <m:t>α</m:t>
          </m:r>
          <m:r>
            <m:t>t</m:t>
          </m:r>
          <m:r>
            <m:rPr>
              <m:sty m:val="p"/>
            </m:rPr>
            <m:t>}</m:t>
          </m:r>
          <m:r>
            <m:rPr>
              <m:sty m:val="p"/>
            </m:rPr>
            <m:t>.</m:t>
          </m:r>
          <m:r>
            <m:t>  </m:t>
          </m:r>
          <m:d>
            <m:dPr>
              <m:begChr m:val="("/>
              <m:endChr m:val=")"/>
              <m:sepChr m:val=""/>
              <m:grow/>
            </m:dPr>
            <m:e>
              <m:r>
                <m:t>3.2</m:t>
              </m:r>
            </m:e>
          </m:d>
        </m:oMath>
      </m:oMathPara>
      <w:bookmarkEnd w:id="63"/>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da função densidade de probabilidade e a função de sobrevivência:</w:t>
      </w:r>
    </w:p>
    <w:p>
      <w:pPr>
        <w:pStyle w:val="BodyText"/>
      </w:pPr>
      <w:bookmarkStart w:id="64"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r>
                <m:rPr>
                  <m:sty m:val="p"/>
                </m:rPr>
                <m:t>exp</m:t>
              </m:r>
              <m:r>
                <m:rPr>
                  <m:sty m:val="p"/>
                </m:rPr>
                <m:t>{</m:t>
              </m:r>
              <m:r>
                <m:rPr>
                  <m:sty m:val="p"/>
                </m:rPr>
                <m:t>−</m:t>
              </m:r>
              <m:r>
                <m:t>α</m:t>
              </m:r>
              <m:r>
                <m:t>t</m:t>
              </m:r>
              <m:r>
                <m:rPr>
                  <m:sty m:val="p"/>
                </m:rPr>
                <m:t>}</m:t>
              </m:r>
            </m:num>
            <m:den>
              <m:r>
                <m:rPr>
                  <m:sty m:val="p"/>
                </m:rPr>
                <m:t>exp</m:t>
              </m:r>
              <m:r>
                <m:rPr>
                  <m:sty m:val="p"/>
                </m:rPr>
                <m:t>{</m:t>
              </m:r>
              <m:r>
                <m:rPr>
                  <m:sty m:val="p"/>
                </m:rPr>
                <m:t>−</m:t>
              </m:r>
              <m:r>
                <m:t>α</m:t>
              </m:r>
              <m:r>
                <m:t>t</m:t>
              </m:r>
              <m:r>
                <m:rPr>
                  <m:sty m:val="p"/>
                </m:rPr>
                <m:t>}</m:t>
              </m:r>
            </m:den>
          </m:f>
          <m:r>
            <m:rPr>
              <m:sty m:val="p"/>
            </m:rPr>
            <m:t>=</m:t>
          </m:r>
          <m:r>
            <m:t>α</m:t>
          </m:r>
          <m:r>
            <m:rPr>
              <m:sty m:val="p"/>
            </m:rPr>
            <m:t>=</m:t>
          </m:r>
          <m:r>
            <m:rPr>
              <m:nor/>
              <m:sty m:val="p"/>
            </m:rPr>
            <m:t>constante</m:t>
          </m:r>
          <m:r>
            <m:rPr>
              <m:sty m:val="p"/>
            </m:rPr>
            <m:t>.</m:t>
          </m:r>
          <m:r>
            <m:t>  </m:t>
          </m:r>
          <m:d>
            <m:dPr>
              <m:begChr m:val="("/>
              <m:endChr m:val=")"/>
              <m:sepChr m:val=""/>
              <m:grow/>
            </m:dPr>
            <m:e>
              <m:r>
                <m:t>3.3</m:t>
              </m:r>
            </m:e>
          </m:d>
        </m:oMath>
      </m:oMathPara>
      <w:bookmarkEnd w:id="64"/>
    </w:p>
    <w:p>
      <w:pPr>
        <w:pStyle w:val="FirstParagraph"/>
      </w:pPr>
      <w:r>
        <w:t xml:space="preserve">Sendo a função risco constante para todo tempo observado</w:t>
      </w:r>
      <w:r>
        <w:t xml:space="preserve"> </w:t>
      </w:r>
      <m:oMath>
        <m:r>
          <m:t>t</m:t>
        </m:r>
      </m:oMath>
      <w:r>
        <w:t xml:space="preserve">, o risco acumulado é função linear no tempo com uma inclinação da reta dada por</w:t>
      </w:r>
      <w:r>
        <w:t xml:space="preserve"> </w:t>
      </w:r>
      <m:oMath>
        <m:r>
          <m:t>α</m:t>
        </m:r>
      </m:oMath>
      <w:r>
        <w:t xml:space="preserve">:</w:t>
      </w:r>
    </w:p>
    <w:p>
      <w:pPr>
        <w:pStyle w:val="BodyText"/>
      </w:pPr>
      <w:bookmarkStart w:id="65" w:name="eq-RiscoAcumExp"/>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r>
                <m:rPr>
                  <m:sty m:val="p"/>
                </m:rPr>
                <m:t>{</m:t>
              </m:r>
              <m:r>
                <m:rPr>
                  <m:sty m:val="p"/>
                </m:rPr>
                <m:t>−</m:t>
              </m:r>
              <m:r>
                <m:t>α</m:t>
              </m:r>
              <m:r>
                <m:t>t</m:t>
              </m:r>
              <m:r>
                <m:rPr>
                  <m:sty m:val="p"/>
                </m:rPr>
                <m:t>}</m:t>
              </m:r>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3.4</m:t>
              </m:r>
            </m:e>
          </m:d>
        </m:oMath>
      </m:oMathPara>
      <w:bookmarkEnd w:id="65"/>
    </w:p>
    <w:p>
      <w:pPr>
        <w:pStyle w:val="FirstParagraph"/>
      </w:pPr>
      <w:r>
        <w:t xml:space="preserve">Com o objetivo de facilitar a visualização e aprimorar o aprendizado do leitor, foram simuladas as funções, acima, definidas.</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rPr>
          <w:rStyle w:val="CommentTok"/>
        </w:rPr>
        <w:t xml:space="preserve"># -------------</w:t>
      </w:r>
      <w:r>
        <w:br/>
      </w:r>
      <w:r>
        <w:rPr>
          <w:rStyle w:val="CommentTok"/>
        </w:rPr>
        <w:t xml:space="preserve"># [1.1] FUNÇÕES</w:t>
      </w:r>
      <w:r>
        <w:br/>
      </w:r>
      <w:r>
        <w:rPr>
          <w:rStyle w:val="CommentTok"/>
        </w:rPr>
        <w:t xml:space="preserve"># -------------</w:t>
      </w:r>
      <w:r>
        <w:br/>
      </w:r>
      <w:r>
        <w:rPr>
          <w:rStyle w:val="NormalTok"/>
        </w:rPr>
        <w:t xml:space="preserve">ftexp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FUNÇÃO GRÁFICA</w:t>
      </w:r>
      <w:r>
        <w:br/>
      </w:r>
      <w:r>
        <w:rPr>
          <w:rStyle w:val="CommentTok"/>
        </w:rPr>
        <w:t xml:space="preserve"># --------------------</w:t>
      </w:r>
      <w:r>
        <w:br/>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p>
    <w:p>
      <w:pPr>
        <w:pStyle w:val="FirstParagraph"/>
      </w:pPr>
      <w:r>
        <w:t xml:space="preserve">Veja, a seguir, a</w:t>
      </w:r>
      <w:r>
        <w:t xml:space="preserve"> </w:t>
      </w:r>
      <w:hyperlink w:anchor="fig-CurvasExp">
        <w:r>
          <w:rPr>
            <w:rStyle w:val="Hyperlink"/>
          </w:rPr>
          <w:t xml:space="preserve">Figura 3.1</w:t>
        </w:r>
      </w:hyperlink>
      <w:r>
        <w:t xml:space="preserve"> </w:t>
      </w:r>
      <w:r>
        <w:t xml:space="preserve">que mostra as curvas de densidade de probabilidade, de sobrevivência, risco e risco acumulado para diferentes valores do parâmetro</w:t>
      </w:r>
      <w:r>
        <w:t xml:space="preserve"> </w:t>
      </w:r>
      <m:oMath>
        <m:r>
          <m:t>α</m:t>
        </m:r>
      </m:oMath>
      <w:r>
        <w:t xml:space="preserve">.</w:t>
      </w:r>
    </w:p>
    <w:p>
      <w:pPr>
        <w:pStyle w:val="SourceCode"/>
      </w:pP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82" w:name="fig-CurvasEx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9" w:name="fig-CurvasExp-1"/>
                <w:p>
                  <w:pPr>
                    <w:pStyle w:val="Compact"/>
                    <w:jc w:val="center"/>
                    <w:jc w:val="left"/>
                  </w:pPr>
                  <w:r>
                    <w:drawing>
                      <wp:inline>
                        <wp:extent cx="2971800" cy="2377440"/>
                        <wp:effectExtent b="0" l="0" r="0" t="0"/>
                        <wp:docPr descr="" title="" id="67" name="Picture"/>
                        <a:graphic>
                          <a:graphicData uri="http://schemas.openxmlformats.org/drawingml/2006/picture">
                            <pic:pic>
                              <pic:nvPicPr>
                                <pic:cNvPr descr="CIII_TEC_PARAM_files/figure-docx/fig-CurvasExp-1.png" id="68" name="Picture"/>
                                <pic:cNvPicPr>
                                  <a:picLocks noChangeArrowheads="1" noChangeAspect="1"/>
                                </pic:cNvPicPr>
                              </pic:nvPicPr>
                              <pic:blipFill>
                                <a:blip r:embed="rId6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69"/>
              </w:tc>
            </w:tr>
          </w:tbl>
          <w:p/>
        </w:tc>
        <w:tc>
          <w:tcPr/>
          <w:tbl>
            <w:tblPr>
              <w:tblStyle w:val="Table"/>
              <w:tblW w:type="pct" w:w="4900"/>
              <w:tblLayout w:type="fixed"/>
              <w:tblLook w:firstRow="0" w:lastRow="0" w:firstColumn="0" w:lastColumn="0" w:noHBand="0" w:noVBand="0" w:val="0000"/>
            </w:tblPr>
            <w:tblGrid>
              <w:gridCol w:w="7761"/>
            </w:tblGrid>
            <w:tr>
              <w:tc>
                <w:tcPr/>
                <w:bookmarkStart w:id="73" w:name="fig-CurvasExp-2"/>
                <w:p>
                  <w:pPr>
                    <w:pStyle w:val="Compact"/>
                    <w:jc w:val="center"/>
                    <w:jc w:val="left"/>
                  </w:pPr>
                  <w:r>
                    <w:drawing>
                      <wp:inline>
                        <wp:extent cx="2971800" cy="2377440"/>
                        <wp:effectExtent b="0" l="0" r="0" t="0"/>
                        <wp:docPr descr="" title="" id="71" name="Picture"/>
                        <a:graphic>
                          <a:graphicData uri="http://schemas.openxmlformats.org/drawingml/2006/picture">
                            <pic:pic>
                              <pic:nvPicPr>
                                <pic:cNvPr descr="CIII_TEC_PARAM_files/figure-docx/fig-CurvasExp-2.png" id="72" name="Picture"/>
                                <pic:cNvPicPr>
                                  <a:picLocks noChangeArrowheads="1" noChangeAspect="1"/>
                                </pic:cNvPicPr>
                              </pic:nvPicPr>
                              <pic:blipFill>
                                <a:blip r:embed="rId7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7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7" w:name="fig-CurvasExp-3"/>
                <w:p>
                  <w:pPr>
                    <w:pStyle w:val="Compact"/>
                    <w:jc w:val="center"/>
                    <w:jc w:val="left"/>
                  </w:pPr>
                  <w:r>
                    <w:drawing>
                      <wp:inline>
                        <wp:extent cx="2971800" cy="2377440"/>
                        <wp:effectExtent b="0" l="0" r="0" t="0"/>
                        <wp:docPr descr="" title="" id="75" name="Picture"/>
                        <a:graphic>
                          <a:graphicData uri="http://schemas.openxmlformats.org/drawingml/2006/picture">
                            <pic:pic>
                              <pic:nvPicPr>
                                <pic:cNvPr descr="CIII_TEC_PARAM_files/figure-docx/fig-CurvasExp-3.png" id="76" name="Picture"/>
                                <pic:cNvPicPr>
                                  <a:picLocks noChangeArrowheads="1" noChangeAspect="1"/>
                                </pic:cNvPicPr>
                              </pic:nvPicPr>
                              <pic:blipFill>
                                <a:blip r:embed="rId7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77"/>
              </w:tc>
            </w:tr>
          </w:tbl>
          <w:p/>
        </w:tc>
        <w:tc>
          <w:tcPr/>
          <w:tbl>
            <w:tblPr>
              <w:tblStyle w:val="Table"/>
              <w:tblW w:type="pct" w:w="4900"/>
              <w:tblLayout w:type="fixed"/>
              <w:tblLook w:firstRow="0" w:lastRow="0" w:firstColumn="0" w:lastColumn="0" w:noHBand="0" w:noVBand="0" w:val="0000"/>
            </w:tblPr>
            <w:tblGrid>
              <w:gridCol w:w="7761"/>
            </w:tblGrid>
            <w:tr>
              <w:tc>
                <w:tcPr/>
                <w:bookmarkStart w:id="81" w:name="fig-CurvasExp-4"/>
                <w:p>
                  <w:pPr>
                    <w:pStyle w:val="Compact"/>
                    <w:jc w:val="center"/>
                    <w:jc w:val="left"/>
                  </w:pPr>
                  <w:r>
                    <w:drawing>
                      <wp:inline>
                        <wp:extent cx="2971800" cy="2377440"/>
                        <wp:effectExtent b="0" l="0" r="0" t="0"/>
                        <wp:docPr descr="" title="" id="79" name="Picture"/>
                        <a:graphic>
                          <a:graphicData uri="http://schemas.openxmlformats.org/drawingml/2006/picture">
                            <pic:pic>
                              <pic:nvPicPr>
                                <pic:cNvPr descr="CIII_TEC_PARAM_files/figure-docx/fig-CurvasExp-4.png" id="80" name="Picture"/>
                                <pic:cNvPicPr>
                                  <a:picLocks noChangeArrowheads="1" noChangeAspect="1"/>
                                </pic:cNvPicPr>
                              </pic:nvPicPr>
                              <pic:blipFill>
                                <a:blip r:embed="rId7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81"/>
              </w:tc>
            </w:tr>
          </w:tbl>
          <w:p/>
        </w:tc>
      </w:tr>
    </w:tbl>
    <w:p>
      <w:pPr>
        <w:pStyle w:val="BodyText"/>
      </w:pPr>
      <w:pPr>
        <w:spacing w:before="200"/>
        <w:pStyle w:val="ImageCaption"/>
      </w:pPr>
      <w:r>
        <w:t xml:space="preserve">Figura 3.1: Funções Densidade de Probabilidade, Sobrevivência, Risco e Risco Acumulado segundo uma Distribuição Exponencial para diferentes valores do parâmetro de taxa.</w:t>
      </w:r>
    </w:p>
    <w:bookmarkEnd w:id="82"/>
    <w:bookmarkStart w:id="8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mais abruptamente a função de sobrevivência</w:t>
      </w:r>
      <w:r>
        <w:t xml:space="preserve"> </w:t>
      </w:r>
      <m:oMath>
        <m:r>
          <m:t>S</m:t>
        </m:r>
        <m:d>
          <m:dPr>
            <m:begChr m:val="("/>
            <m:endChr m:val=")"/>
            <m:sepChr m:val=""/>
            <m:grow/>
          </m:dPr>
          <m:e>
            <m:r>
              <m:t>t</m:t>
            </m:r>
          </m:e>
        </m:d>
      </m:oMath>
      <w:r>
        <w:t xml:space="preserve"> </w:t>
      </w:r>
      <w:r>
        <w:t xml:space="preserve">decresce, e maior é a inclinação da função de risco acumulado.</w:t>
      </w:r>
    </w:p>
    <w:p>
      <w:pPr>
        <w:pStyle w:val="BodyText"/>
      </w:pPr>
      <w:r>
        <w:t xml:space="preserve">A distribuição exponencial, por possuir um único parâmetro, é matematicamente simples e apresenta um formato assimétrico. Seu uso em análise de sobrevivência tem uma analogia com a suposição de normalidade em outras técnicas e áreas da estatística. Entretanto, a suposição de risco constante associada a essa distribuição é bastante restritiva e, em muitos casos, pode não ser realista.</w:t>
      </w:r>
    </w:p>
    <w:p>
      <w:pPr>
        <w:pStyle w:val="BodyText"/>
      </w:pPr>
      <w:r>
        <w:t xml:space="preserve">Por exemplo, considere um estudo sobre câncer, em que o tempo até o evento de interesse é definido como o período até a morte ou a cura do paciente. Para aplicar a distribuição exponencial nesse contexto, seria necessário assumir que o tempo desde o diagnóstico da doença não afeta a probabilidade de ocorrência do evento. Essa suposição é delicada, pois o próprio passar do tempo afeta naturalmente a probabilidade de sobrevivência, o risco e o risco acumulado, entre outros fatores. Isso pode ocorrer por causas naturais, como o envelhecimento, que aumenta o risco com o avanço da idade. Essa característica da distribuição exponencial é conhecida como falta de memória, o que significa que o risco futuro é independente do tempo já decorrido.</w:t>
      </w:r>
    </w:p>
    <w:p>
      <w:pPr>
        <w:pStyle w:val="BodyText"/>
      </w:pPr>
      <w:r>
        <w:t xml:space="preserve">Quando</w:t>
      </w:r>
      <w:r>
        <w:t xml:space="preserve"> </w:t>
      </w:r>
      <m:oMath>
        <m:r>
          <m:t>α</m:t>
        </m:r>
        <m:r>
          <m:rPr>
            <m:sty m:val="p"/>
          </m:rPr>
          <m:t>=</m:t>
        </m:r>
        <m:r>
          <m:t>1</m:t>
        </m:r>
      </m:oMath>
      <w:r>
        <w:t xml:space="preserve">, a distribuição é denominada exponencial padrão. A média e a variância do tempo de sobrevivência, para uma variável que segue a distribuição exponencial, são expressas como funções inversas do parâmetro de risco (</w:t>
      </w:r>
      <m:oMath>
        <m:r>
          <m:t>α</m:t>
        </m:r>
      </m:oMath>
      <w:r>
        <w:t xml:space="preserve">). Assim, quanto maior o risco, menor o tempo médio de sobrevivência e menor a variabilidade em torno da média. As expressões são dadas por:</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r>
            <m:rPr>
              <m:sty m:val="p"/>
            </m:rPr>
            <m:t>,</m:t>
          </m:r>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r>
            <m:rPr>
              <m:sty m:val="p"/>
            </m:rPr>
            <m:t>.</m:t>
          </m:r>
        </m:oMath>
      </m:oMathPara>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resumo, o modelo exponencial é apropriado para situações em que o período do experimento é curto o suficiente para que a suposição de risco constante seja plausível.</w:t>
      </w:r>
    </w:p>
    <w:bookmarkEnd w:id="83"/>
    <w:bookmarkEnd w:id="84"/>
    <w:bookmarkStart w:id="107" w:name="sec-DistWeibull"/>
    <w:p>
      <w:pPr>
        <w:pStyle w:val="Heading3"/>
      </w:pPr>
      <w:r>
        <w:t xml:space="preserve">3.2.2 Distribuição Weibull</w:t>
      </w:r>
    </w:p>
    <w:p>
      <w:pPr>
        <w:pStyle w:val="FirstParagraph"/>
      </w:pPr>
      <w:r>
        <w:t xml:space="preserve">Na maioria dos casos de análise de sobrevivência na área da saúde, é mais razoável supor que o risco varia ao longo do tempo, em vez de permanecer constante.</w:t>
      </w:r>
    </w:p>
    <w:p>
      <w:pPr>
        <w:pStyle w:val="BodyText"/>
      </w:pPr>
      <w:r>
        <w:t xml:space="preserve">Atualmente, a</w:t>
      </w:r>
      <w:r>
        <w:t xml:space="preserve"> </w:t>
      </w:r>
      <w:r>
        <w:rPr>
          <w:i/>
          <w:iCs/>
        </w:rPr>
        <w:t xml:space="preserve">Distribuição Weibull</w:t>
      </w:r>
      <w:r>
        <w:t xml:space="preserve"> </w:t>
      </w:r>
      <w:r>
        <w:t xml:space="preserve">é amplamente utilizada, pois permite modelar essa variação do risco ao longo do tempo. Como será demonstrado,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ou seja,</w:t>
      </w:r>
      <w:r>
        <w:t xml:space="preserve"> </w:t>
      </w: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sua função densidade de probabilidade é dada por:</w:t>
      </w:r>
    </w:p>
    <w:p>
      <w:pPr>
        <w:pStyle w:val="BodyText"/>
      </w:pPr>
      <w:bookmarkStart w:id="85" w:name="eq-densittWei"/>
      <m:oMathPara>
        <m:oMathParaPr>
          <m:jc m:val="center"/>
        </m:oMathParaPr>
        <m:oMath>
          <m:r>
            <m:t>f</m:t>
          </m:r>
          <m:d>
            <m:dPr>
              <m:begChr m:val="("/>
              <m:endChr m:val=")"/>
              <m:sepChr m:val=""/>
              <m:grow/>
            </m:dPr>
            <m:e>
              <m:r>
                <m:t>t</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3.5</m:t>
              </m:r>
            </m:e>
          </m:d>
        </m:oMath>
      </m:oMathPara>
      <w:bookmarkEnd w:id="85"/>
    </w:p>
    <w:p>
      <w:pPr>
        <w:pStyle w:val="FirstParagraph"/>
      </w:pPr>
      <w:r>
        <w:t xml:space="preserve">A partir da</w:t>
      </w:r>
      <w:r>
        <w:t xml:space="preserve"> </w:t>
      </w:r>
      <w:hyperlink w:anchor="eq-densittWei">
        <w:r>
          <w:rPr>
            <w:rStyle w:val="Hyperlink"/>
          </w:rPr>
          <w:t xml:space="preserve">Equação 3.5</w:t>
        </w:r>
      </w:hyperlink>
      <w:r>
        <w:t xml:space="preserve"> </w:t>
      </w:r>
      <w:r>
        <w:t xml:space="preserve">é possível chegar a função de sobrevivência da distribuição Weibull sendo está função definida como:</w:t>
      </w:r>
    </w:p>
    <w:p>
      <w:pPr>
        <w:pStyle w:val="BodyText"/>
      </w:pPr>
      <w:bookmarkStart w:id="86"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8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escala (ou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87" w:name="eq-RiscoWeibull"/>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γ</m:t>
              </m:r>
            </m:num>
            <m:den>
              <m:sSup>
                <m:e>
                  <m:r>
                    <m:t>α</m:t>
                  </m:r>
                </m:e>
                <m:sup>
                  <m:r>
                    <m:t>γ</m:t>
                  </m:r>
                </m:sup>
              </m:sSup>
            </m:den>
          </m:f>
          <m:sSup>
            <m:e>
              <m:r>
                <m:t>t</m:t>
              </m:r>
            </m:e>
            <m:sup>
              <m:r>
                <m:t>γ</m:t>
              </m:r>
              <m:r>
                <m:rPr>
                  <m:sty m:val="p"/>
                </m:rPr>
                <m:t>−</m:t>
              </m:r>
              <m:r>
                <m:t>1</m:t>
              </m:r>
            </m:sup>
          </m:sSup>
          <m:r>
            <m:t>  </m:t>
          </m:r>
          <m:d>
            <m:dPr>
              <m:begChr m:val="("/>
              <m:endChr m:val=")"/>
              <m:sepChr m:val=""/>
              <m:grow/>
            </m:dPr>
            <m:e>
              <m:r>
                <m:t>3.7</m:t>
              </m:r>
            </m:e>
          </m:d>
        </m:oMath>
      </m:oMathPara>
      <w:bookmarkEnd w:id="87"/>
    </w:p>
    <w:p>
      <w:pPr>
        <w:pStyle w:val="FirstParagraph"/>
      </w:pPr>
      <w:r>
        <w:t xml:space="preserve">e a função de risco acumulado da distribuição Weibull é dada por:</w:t>
      </w:r>
    </w:p>
    <w:p>
      <w:pPr>
        <w:pStyle w:val="BodyText"/>
      </w:pPr>
      <w:bookmarkStart w:id="88" w:name="eq-RiscAcumWeibull"/>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e>
          </m:d>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3.8</m:t>
              </m:r>
            </m:e>
          </m:d>
        </m:oMath>
      </m:oMathPara>
      <w:bookmarkEnd w:id="8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m:t>
        </m:r>
        <m:r>
          <m:t>1</m:t>
        </m:r>
        <m:r>
          <m:rPr>
            <m:sty m:val="p"/>
          </m:rPr>
          <m:t>→</m:t>
        </m:r>
      </m:oMath>
      <w:r>
        <w:t xml:space="preserve"> </w:t>
      </w:r>
      <w:r>
        <w:t xml:space="preserve">função de risco constante, caindo no caso particular da distribuição exponencial.</w:t>
      </w:r>
    </w:p>
    <w:p>
      <w:pPr>
        <w:pStyle w:val="FirstParagraph"/>
      </w:pPr>
      <w:r>
        <w:t xml:space="preserve">Assim como na distribuição exponencial, com objetivo de facilitar a visualização e aprimorar o aprendizado do leitor, foram simuladas as funções das</w:t>
      </w:r>
      <w:r>
        <w:t xml:space="preserve"> </w:t>
      </w:r>
      <w:hyperlink w:anchor="eq-densittWei">
        <w:r>
          <w:rPr>
            <w:rStyle w:val="Hyperlink"/>
          </w:rPr>
          <w:t xml:space="preserve">Equação 3.5</w:t>
        </w:r>
      </w:hyperlink>
      <w:r>
        <w:t xml:space="preserve">,</w:t>
      </w:r>
      <w:r>
        <w:t xml:space="preserve"> </w:t>
      </w:r>
      <w:hyperlink w:anchor="eq-StWeibull">
        <w:r>
          <w:rPr>
            <w:rStyle w:val="Hyperlink"/>
          </w:rPr>
          <w:t xml:space="preserve">Equação 3.6</w:t>
        </w:r>
      </w:hyperlink>
      <w:r>
        <w:t xml:space="preserve">,</w:t>
      </w:r>
      <w:r>
        <w:t xml:space="preserve"> </w:t>
      </w:r>
      <w:hyperlink w:anchor="eq-RiscoWeibull">
        <w:r>
          <w:rPr>
            <w:rStyle w:val="Hyperlink"/>
          </w:rPr>
          <w:t xml:space="preserve">Equação 3.7</w:t>
        </w:r>
      </w:hyperlink>
      <w:r>
        <w:t xml:space="preserve"> </w:t>
      </w:r>
      <w:r>
        <w:t xml:space="preserve">e</w:t>
      </w:r>
      <w:r>
        <w:t xml:space="preserve"> </w:t>
      </w:r>
      <w:hyperlink w:anchor="eq-RiscAcumWeibull">
        <w:r>
          <w:rPr>
            <w:rStyle w:val="Hyperlink"/>
          </w:rPr>
          <w:t xml:space="preserve">Equação 3.8</w:t>
        </w:r>
      </w:hyperlink>
      <w:r>
        <w:t xml:space="preserve">.</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rPr>
          <w:rStyle w:val="CommentTok"/>
        </w:rPr>
        <w:t xml:space="preserve"># -------------</w:t>
      </w:r>
      <w:r>
        <w:br/>
      </w:r>
      <w:r>
        <w:rPr>
          <w:rStyle w:val="CommentTok"/>
        </w:rPr>
        <w:t xml:space="preserve"># [2.1] FUNÇÕES</w:t>
      </w:r>
      <w:r>
        <w:br/>
      </w:r>
      <w:r>
        <w:rPr>
          <w:rStyle w:val="CommentTok"/>
        </w:rPr>
        <w:t xml:space="preserve"># -------------</w:t>
      </w:r>
      <w:r>
        <w:br/>
      </w:r>
      <w:r>
        <w:rPr>
          <w:rStyle w:val="NormalTok"/>
        </w:rPr>
        <w:t xml:space="preserve">ftWei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ft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(ft)</w:t>
      </w:r>
      <w:r>
        <w:br/>
      </w:r>
      <w:r>
        <w:rPr>
          <w:rStyle w:val="NormalTok"/>
        </w:rPr>
        <w:t xml:space="preserve">}</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St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ht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Lt </w:t>
      </w:r>
      <w:r>
        <w:rPr>
          <w:rStyle w:val="OtherTok"/>
        </w:rPr>
        <w:t xml:space="preserve">&lt;-</w:t>
      </w:r>
      <w:r>
        <w:rPr>
          <w:rStyle w:val="NormalTok"/>
        </w:rPr>
        <w:t xml:space="preserve">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(Lt)</w:t>
      </w:r>
      <w:r>
        <w:br/>
      </w:r>
      <w:r>
        <w:rPr>
          <w:rStyle w:val="NormalTok"/>
        </w:rPr>
        <w:t xml:space="preserve">}</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 </w:t>
      </w:r>
      <w:r>
        <w:rPr>
          <w:rStyle w:val="CommentTok"/>
        </w:rPr>
        <w:t xml:space="preserve"># Simulando dados de uma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"gamma"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p>
    <w:p>
      <w:pPr>
        <w:pStyle w:val="FirstParagraph"/>
      </w:pPr>
      <w:r>
        <w:t xml:space="preserve">Veja, a seguir, a</w:t>
      </w:r>
      <w:r>
        <w:t xml:space="preserve"> </w:t>
      </w:r>
      <w:hyperlink w:anchor="fig-CurvasWeibull">
        <w:r>
          <w:rPr>
            <w:rStyle w:val="Hyperlink"/>
          </w:rPr>
          <w:t xml:space="preserve">Figura 3.2</w:t>
        </w:r>
      </w:hyperlink>
      <w:r>
        <w:t xml:space="preserve"> </w:t>
      </w:r>
      <w:r>
        <w:t xml:space="preserve">que mostra as curvas de densidade, sobrevivência, risco e risco acumulado para diferentes valores do parâmetro de forma</w:t>
      </w:r>
      <w:r>
        <w:t xml:space="preserve"> </w:t>
      </w:r>
      <m:oMath>
        <m:r>
          <m:t>γ</m:t>
        </m:r>
      </m:oMath>
      <w:r>
        <w:t xml:space="preserve"> </w:t>
      </w:r>
      <w:r>
        <w:t xml:space="preserve">e o de escala</w:t>
      </w:r>
      <w:r>
        <w:t xml:space="preserve"> </w:t>
      </w:r>
      <m:oMath>
        <m:r>
          <m:t>α</m:t>
        </m:r>
        <m:r>
          <m:rPr>
            <m:sty m:val="p"/>
          </m:rPr>
          <m:t>=</m:t>
        </m:r>
        <m:r>
          <m:t>1</m:t>
        </m:r>
      </m:oMath>
      <w:r>
        <w:t xml:space="preserve">.</w:t>
      </w:r>
    </w:p>
    <w:p>
      <w:pPr>
        <w:pStyle w:val="SourceCode"/>
      </w:pP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05" w:name="fig-CurvasWeibul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92" w:name="fig-CurvasWeibull-1"/>
                <w:p>
                  <w:pPr>
                    <w:pStyle w:val="Compact"/>
                    <w:jc w:val="center"/>
                    <w:jc w:val="left"/>
                  </w:pPr>
                  <w:r>
                    <w:drawing>
                      <wp:inline>
                        <wp:extent cx="2971800" cy="2377440"/>
                        <wp:effectExtent b="0" l="0" r="0" t="0"/>
                        <wp:docPr descr="" title="" id="90" name="Picture"/>
                        <a:graphic>
                          <a:graphicData uri="http://schemas.openxmlformats.org/drawingml/2006/picture">
                            <pic:pic>
                              <pic:nvPicPr>
                                <pic:cNvPr descr="CIII_TEC_PARAM_files/figure-docx/fig-CurvasWeibull-1.png" id="91" name="Picture"/>
                                <pic:cNvPicPr>
                                  <a:picLocks noChangeArrowheads="1" noChangeAspect="1"/>
                                </pic:cNvPicPr>
                              </pic:nvPicPr>
                              <pic:blipFill>
                                <a:blip r:embed="rId8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92"/>
              </w:tc>
            </w:tr>
          </w:tbl>
          <w:p/>
        </w:tc>
        <w:tc>
          <w:tcPr/>
          <w:tbl>
            <w:tblPr>
              <w:tblStyle w:val="Table"/>
              <w:tblW w:type="pct" w:w="4900"/>
              <w:tblLayout w:type="fixed"/>
              <w:tblLook w:firstRow="0" w:lastRow="0" w:firstColumn="0" w:lastColumn="0" w:noHBand="0" w:noVBand="0" w:val="0000"/>
            </w:tblPr>
            <w:tblGrid>
              <w:gridCol w:w="7761"/>
            </w:tblGrid>
            <w:tr>
              <w:tc>
                <w:tcPr/>
                <w:bookmarkStart w:id="96" w:name="fig-CurvasWeibull-2"/>
                <w:p>
                  <w:pPr>
                    <w:pStyle w:val="Compact"/>
                    <w:jc w:val="center"/>
                    <w:jc w:val="left"/>
                  </w:pPr>
                  <w:r>
                    <w:drawing>
                      <wp:inline>
                        <wp:extent cx="2971800" cy="2377440"/>
                        <wp:effectExtent b="0" l="0" r="0" t="0"/>
                        <wp:docPr descr="" title="" id="94" name="Picture"/>
                        <a:graphic>
                          <a:graphicData uri="http://schemas.openxmlformats.org/drawingml/2006/picture">
                            <pic:pic>
                              <pic:nvPicPr>
                                <pic:cNvPr descr="CIII_TEC_PARAM_files/figure-docx/fig-CurvasWeibull-2.png" id="95" name="Picture"/>
                                <pic:cNvPicPr>
                                  <a:picLocks noChangeArrowheads="1" noChangeAspect="1"/>
                                </pic:cNvPicPr>
                              </pic:nvPicPr>
                              <pic:blipFill>
                                <a:blip r:embed="rId9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9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0" w:name="fig-CurvasWeibull-3"/>
                <w:p>
                  <w:pPr>
                    <w:pStyle w:val="Compact"/>
                    <w:jc w:val="center"/>
                    <w:jc w:val="left"/>
                  </w:pPr>
                  <w:r>
                    <w:drawing>
                      <wp:inline>
                        <wp:extent cx="2971800" cy="2377440"/>
                        <wp:effectExtent b="0" l="0" r="0" t="0"/>
                        <wp:docPr descr="" title="" id="98" name="Picture"/>
                        <a:graphic>
                          <a:graphicData uri="http://schemas.openxmlformats.org/drawingml/2006/picture">
                            <pic:pic>
                              <pic:nvPicPr>
                                <pic:cNvPr descr="CIII_TEC_PARAM_files/figure-docx/fig-CurvasWeibull-3.png" id="99" name="Picture"/>
                                <pic:cNvPicPr>
                                  <a:picLocks noChangeArrowheads="1" noChangeAspect="1"/>
                                </pic:cNvPicPr>
                              </pic:nvPicPr>
                              <pic:blipFill>
                                <a:blip r:embed="rId9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00"/>
              </w:tc>
            </w:tr>
          </w:tbl>
          <w:p/>
        </w:tc>
        <w:tc>
          <w:tcPr/>
          <w:tbl>
            <w:tblPr>
              <w:tblStyle w:val="Table"/>
              <w:tblW w:type="pct" w:w="4900"/>
              <w:tblLayout w:type="fixed"/>
              <w:tblLook w:firstRow="0" w:lastRow="0" w:firstColumn="0" w:lastColumn="0" w:noHBand="0" w:noVBand="0" w:val="0000"/>
            </w:tblPr>
            <w:tblGrid>
              <w:gridCol w:w="7761"/>
            </w:tblGrid>
            <w:tr>
              <w:tc>
                <w:tcPr/>
                <w:bookmarkStart w:id="104" w:name="fig-CurvasWeibull-4"/>
                <w:p>
                  <w:pPr>
                    <w:pStyle w:val="Compact"/>
                    <w:jc w:val="center"/>
                    <w:jc w:val="left"/>
                  </w:pPr>
                  <w:r>
                    <w:drawing>
                      <wp:inline>
                        <wp:extent cx="2971800" cy="2377440"/>
                        <wp:effectExtent b="0" l="0" r="0" t="0"/>
                        <wp:docPr descr="" title="" id="102" name="Picture"/>
                        <a:graphic>
                          <a:graphicData uri="http://schemas.openxmlformats.org/drawingml/2006/picture">
                            <pic:pic>
                              <pic:nvPicPr>
                                <pic:cNvPr descr="CIII_TEC_PARAM_files/figure-docx/fig-CurvasWeibull-4.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04"/>
              </w:tc>
            </w:tr>
          </w:tbl>
          <w:p/>
        </w:tc>
      </w:tr>
    </w:tbl>
    <w:p>
      <w:pPr>
        <w:pStyle w:val="BodyText"/>
      </w:pPr>
      <w:pPr>
        <w:spacing w:before="200"/>
        <w:pStyle w:val="ImageCaption"/>
      </w:pPr>
      <w:r>
        <w:t xml:space="preserve">Figura 3.2: Funções Densidade de Probabilidade, Sobrevivência, Risco e Risco Acumulado segundo uma Distribuição Weibull para diferentes valores do parâmetro de forma.</w:t>
      </w:r>
    </w:p>
    <w:bookmarkEnd w:id="105"/>
    <w:bookmarkStart w:id="106"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t</m:t>
                </m:r>
              </m:e>
              <m:sup>
                <m:r>
                  <m:t>k</m:t>
                </m:r>
                <m:r>
                  <m:rPr>
                    <m:sty m:val="p"/>
                  </m:rPr>
                  <m:t>−</m:t>
                </m:r>
                <m:r>
                  <m:t>1</m:t>
                </m:r>
              </m:sup>
            </m:sSup>
          </m:e>
        </m:nary>
        <m:r>
          <m:rPr>
            <m:sty m:val="p"/>
          </m:rPr>
          <m:t>exp</m:t>
        </m:r>
        <m:r>
          <m:rPr>
            <m:sty m:val="p"/>
          </m:rPr>
          <m:t>{</m:t>
        </m:r>
        <m:r>
          <m:t>t</m:t>
        </m:r>
        <m:r>
          <m:rPr>
            <m:sty m:val="p"/>
          </m:rPr>
          <m:t>}</m:t>
        </m:r>
        <m:r>
          <m:t>d</m:t>
        </m:r>
        <m:r>
          <m:t>t</m:t>
        </m:r>
      </m:oMath>
      <w:r>
        <w:t xml:space="preserve">.</w:t>
      </w:r>
    </w:p>
    <w:p>
      <w:pPr>
        <w:pStyle w:val="BodyText"/>
      </w:pPr>
      <w:r>
        <w:t xml:space="preserve">Afim de se obter o tempo mediano de sobrevivência, igualamos a probabilidade de sobrevivência a</w:t>
      </w:r>
      <w:r>
        <w:t xml:space="preserve"> </w:t>
      </w:r>
      <m:oMath>
        <m:r>
          <m:t>0</m:t>
        </m:r>
        <m:r>
          <m:rPr>
            <m:sty m:val="p"/>
          </m:rPr>
          <m:t>,</m:t>
        </m:r>
        <m:r>
          <m:t>5</m:t>
        </m:r>
      </m:oMath>
      <w:r>
        <w:t xml:space="preserve">. Desta forma:</w:t>
      </w:r>
    </w:p>
    <w:p>
      <w:pPr>
        <w:pStyle w:val="BodyText"/>
      </w:pPr>
      <w:r>
        <w:t xml:space="preserve">Logo, definimos o tempo mediano de sobrevivência da distribuição Weibull como:</w:t>
      </w:r>
    </w:p>
    <w:p>
      <w:pPr>
        <w:pStyle w:val="BodyText"/>
      </w:pPr>
      <m:oMathPara>
        <m:oMathParaPr>
          <m:jc m:val="center"/>
        </m:oMathParaPr>
        <m:oMath>
          <m:sSub>
            <m:e>
              <m:r>
                <m:t>T</m:t>
              </m:r>
            </m:e>
            <m:sub>
              <m:r>
                <m:t>m</m:t>
              </m:r>
              <m:r>
                <m:t>e</m:t>
              </m:r>
              <m:r>
                <m:t>d</m:t>
              </m:r>
              <m:r>
                <m:t>i</m:t>
              </m:r>
              <m:r>
                <m:t>a</m:t>
              </m:r>
              <m:r>
                <m:t>n</m:t>
              </m:r>
              <m:r>
                <m:t>o</m:t>
              </m:r>
            </m:sub>
          </m:sSub>
          <m:r>
            <m:rPr>
              <m:sty m:val="p"/>
            </m:rPr>
            <m:t>=</m:t>
          </m:r>
          <m:r>
            <m:t>α</m:t>
          </m:r>
          <m:sSup>
            <m:e>
              <m:d>
                <m:dPr>
                  <m:begChr m:val="["/>
                  <m:endChr m:val="]"/>
                  <m:sepChr m:val=""/>
                  <m:grow/>
                </m:dPr>
                <m:e>
                  <m:r>
                    <m:rPr>
                      <m:sty m:val="p"/>
                    </m:rPr>
                    <m:t>ln</m:t>
                  </m:r>
                  <m:d>
                    <m:dPr>
                      <m:begChr m:val="("/>
                      <m:endChr m:val=")"/>
                      <m:sepChr m:val=""/>
                      <m:grow/>
                    </m:dPr>
                    <m:e>
                      <m:r>
                        <m:t>2</m:t>
                      </m:r>
                    </m:e>
                  </m:d>
                </m:e>
              </m:d>
            </m:e>
            <m:sup>
              <m:r>
                <m:t>1</m:t>
              </m:r>
              <m:r>
                <m:rPr>
                  <m:sty m:val="p"/>
                </m:rPr>
                <m:t>/</m:t>
              </m:r>
              <m:r>
                <m:t>γ</m:t>
              </m:r>
            </m:sup>
          </m:sSup>
          <m:r>
            <m:rPr>
              <m:sty m:val="p"/>
            </m:rPr>
            <m:t>.</m:t>
          </m:r>
        </m:oMath>
      </m:oMathPara>
    </w:p>
    <w:bookmarkEnd w:id="106"/>
    <w:bookmarkEnd w:id="107"/>
    <w:bookmarkStart w:id="128"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10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rPr>
              <m:sty m:val="p"/>
            </m:rPr>
            <m:t>.</m:t>
          </m:r>
          <m:r>
            <m:t>  </m:t>
          </m:r>
          <m:d>
            <m:dPr>
              <m:begChr m:val="("/>
              <m:endChr m:val=")"/>
              <m:sepChr m:val=""/>
              <m:grow/>
            </m:dPr>
            <m:e>
              <m:r>
                <m:t>3.9</m:t>
              </m:r>
            </m:e>
          </m:d>
        </m:oMath>
      </m:oMathPara>
      <w:bookmarkEnd w:id="10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10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rPr>
              <m:sty m:val="p"/>
            </m:rPr>
            <m:t>,</m:t>
          </m:r>
          <m:r>
            <m:t>  </m:t>
          </m:r>
          <m:d>
            <m:dPr>
              <m:begChr m:val="("/>
              <m:endChr m:val=")"/>
              <m:sepChr m:val=""/>
              <m:grow/>
            </m:dPr>
            <m:e>
              <m:r>
                <m:t>3.10</m:t>
              </m:r>
            </m:e>
          </m:d>
        </m:oMath>
      </m:oMathPara>
      <w:bookmarkEnd w:id="10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Assim como ocorreu com as outras distribuições. Foram ilustradas as funções e densidade, sobrevivência, risco e risco acumulado.</w:t>
      </w:r>
    </w:p>
    <w:p>
      <w:pPr>
        <w:pStyle w:val="SourceCode"/>
      </w:pPr>
      <w:r>
        <w:rPr>
          <w:rStyle w:val="CommentTok"/>
        </w:rPr>
        <w:t xml:space="preserve"># ---------------------------</w:t>
      </w:r>
      <w:r>
        <w:br/>
      </w:r>
      <w:r>
        <w:rPr>
          <w:rStyle w:val="CommentTok"/>
        </w:rPr>
        <w:t xml:space="preserve"># [3] DISTRIBUIÇÃO LOG-NORMAL</w:t>
      </w:r>
      <w:r>
        <w:br/>
      </w:r>
      <w:r>
        <w:rPr>
          <w:rStyle w:val="CommentTok"/>
        </w:rPr>
        <w:t xml:space="preserve"># ---------------------------</w:t>
      </w:r>
      <w:r>
        <w:br/>
      </w:r>
      <w:r>
        <w:rPr>
          <w:rStyle w:val="CommentTok"/>
        </w:rPr>
        <w:t xml:space="preserve"># -------------</w:t>
      </w:r>
      <w:r>
        <w:br/>
      </w:r>
      <w:r>
        <w:rPr>
          <w:rStyle w:val="CommentTok"/>
        </w:rPr>
        <w:t xml:space="preserve"># [3.1] FUNÇÕES</w:t>
      </w:r>
      <w:r>
        <w:br/>
      </w:r>
      <w:r>
        <w:rPr>
          <w:rStyle w:val="CommentTok"/>
        </w:rPr>
        <w:t xml:space="preserve"># -------------</w:t>
      </w:r>
      <w:r>
        <w:br/>
      </w:r>
      <w:r>
        <w:rPr>
          <w:rStyle w:val="NormalTok"/>
        </w:rPr>
        <w:t xml:space="preserve">ftlnorm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Stlnorm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htlnorm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ftlnorm</w:t>
      </w:r>
      <w:r>
        <w:rPr>
          <w:rStyle w:val="NormalTok"/>
        </w:rPr>
        <w:t xml:space="preserve">(t, mu, sigma) </w:t>
      </w:r>
      <w:r>
        <w:rPr>
          <w:rStyle w:val="SpecialCharTok"/>
        </w:rPr>
        <w:t xml:space="preserve">/</w:t>
      </w:r>
      <w:r>
        <w:rPr>
          <w:rStyle w:val="NormalTok"/>
        </w:rPr>
        <w:t xml:space="preserve"> </w:t>
      </w:r>
      <w:r>
        <w:rPr>
          <w:rStyle w:val="FunctionTok"/>
        </w:rPr>
        <w:t xml:space="preserve">Stlnorm</w:t>
      </w:r>
      <w:r>
        <w:rPr>
          <w:rStyle w:val="NormalTok"/>
        </w:rPr>
        <w:t xml:space="preserve">(t, mu, sigma)</w:t>
      </w:r>
      <w:r>
        <w:br/>
      </w:r>
      <w:r>
        <w:rPr>
          <w:rStyle w:val="NormalTok"/>
        </w:rPr>
        <w:t xml:space="preserve">}</w:t>
      </w:r>
      <w:r>
        <w:br/>
      </w:r>
      <w:r>
        <w:br/>
      </w:r>
      <w:r>
        <w:rPr>
          <w:rStyle w:val="NormalTok"/>
        </w:rPr>
        <w:t xml:space="preserve">Ltlnorm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Stlnorm</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[3.2]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 </w:t>
      </w:r>
      <w:r>
        <w:rPr>
          <w:rStyle w:val="CommentTok"/>
        </w:rPr>
        <w:t xml:space="preserve"># Simulando dados de uma Log-normal</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[3.3]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"mu"</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p>
    <w:p>
      <w:pPr>
        <w:pStyle w:val="FirstParagraph"/>
      </w:pPr>
      <w:r>
        <w:t xml:space="preserve">Veja a</w:t>
      </w:r>
      <w:r>
        <w:t xml:space="preserve"> </w:t>
      </w:r>
      <w:hyperlink w:anchor="fig-CurvasLognormal">
        <w:r>
          <w:rPr>
            <w:rStyle w:val="Hyperlink"/>
          </w:rPr>
          <w:t xml:space="preserve">Figura 3.3</w:t>
        </w:r>
      </w:hyperlink>
      <w:r>
        <w:t xml:space="preserve"> </w:t>
      </w:r>
      <w:r>
        <w:t xml:space="preserve">que ilustras as curvas usadas na análise de sobrevivência segundo uma distribuição log-normal.</w:t>
      </w:r>
    </w:p>
    <w:p>
      <w:pPr>
        <w:pStyle w:val="SourceCode"/>
      </w:pP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26" w:name="fig-CurvasLog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3" w:name="fig-CurvasLognormal-1"/>
                <w:p>
                  <w:pPr>
                    <w:pStyle w:val="Compact"/>
                    <w:jc w:val="center"/>
                    <w:jc w:val="left"/>
                  </w:pPr>
                  <w:r>
                    <w:drawing>
                      <wp:inline>
                        <wp:extent cx="2971800" cy="2377440"/>
                        <wp:effectExtent b="0" l="0" r="0" t="0"/>
                        <wp:docPr descr="" title="" id="111" name="Picture"/>
                        <a:graphic>
                          <a:graphicData uri="http://schemas.openxmlformats.org/drawingml/2006/picture">
                            <pic:pic>
                              <pic:nvPicPr>
                                <pic:cNvPr descr="CIII_TEC_PARAM_files/figure-docx/fig-CurvasLognormal-1.png" id="112" name="Picture"/>
                                <pic:cNvPicPr>
                                  <a:picLocks noChangeArrowheads="1" noChangeAspect="1"/>
                                </pic:cNvPicPr>
                              </pic:nvPicPr>
                              <pic:blipFill>
                                <a:blip r:embed="rId11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113"/>
              </w:tc>
            </w:tr>
          </w:tbl>
          <w:p/>
        </w:tc>
        <w:tc>
          <w:tcPr/>
          <w:tbl>
            <w:tblPr>
              <w:tblStyle w:val="Table"/>
              <w:tblW w:type="pct" w:w="4900"/>
              <w:tblLayout w:type="fixed"/>
              <w:tblLook w:firstRow="0" w:lastRow="0" w:firstColumn="0" w:lastColumn="0" w:noHBand="0" w:noVBand="0" w:val="0000"/>
            </w:tblPr>
            <w:tblGrid>
              <w:gridCol w:w="7761"/>
            </w:tblGrid>
            <w:tr>
              <w:tc>
                <w:tcPr/>
                <w:bookmarkStart w:id="117" w:name="fig-CurvasLognormal-2"/>
                <w:p>
                  <w:pPr>
                    <w:pStyle w:val="Compact"/>
                    <w:jc w:val="center"/>
                    <w:jc w:val="left"/>
                  </w:pPr>
                  <w:r>
                    <w:drawing>
                      <wp:inline>
                        <wp:extent cx="2971800" cy="2377440"/>
                        <wp:effectExtent b="0" l="0" r="0" t="0"/>
                        <wp:docPr descr="" title="" id="115" name="Picture"/>
                        <a:graphic>
                          <a:graphicData uri="http://schemas.openxmlformats.org/drawingml/2006/picture">
                            <pic:pic>
                              <pic:nvPicPr>
                                <pic:cNvPr descr="CIII_TEC_PARAM_files/figure-docx/fig-CurvasLognormal-2.png" id="116" name="Picture"/>
                                <pic:cNvPicPr>
                                  <a:picLocks noChangeArrowheads="1" noChangeAspect="1"/>
                                </pic:cNvPicPr>
                              </pic:nvPicPr>
                              <pic:blipFill>
                                <a:blip r:embed="rId11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11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21" w:name="fig-CurvasLognormal-3"/>
                <w:p>
                  <w:pPr>
                    <w:pStyle w:val="Compact"/>
                    <w:jc w:val="center"/>
                    <w:jc w:val="left"/>
                  </w:pPr>
                  <w:r>
                    <w:drawing>
                      <wp:inline>
                        <wp:extent cx="2971800" cy="2377440"/>
                        <wp:effectExtent b="0" l="0" r="0" t="0"/>
                        <wp:docPr descr="" title="" id="119" name="Picture"/>
                        <a:graphic>
                          <a:graphicData uri="http://schemas.openxmlformats.org/drawingml/2006/picture">
                            <pic:pic>
                              <pic:nvPicPr>
                                <pic:cNvPr descr="CIII_TEC_PARAM_files/figure-docx/fig-CurvasLognormal-3.png" id="120" name="Picture"/>
                                <pic:cNvPicPr>
                                  <a:picLocks noChangeArrowheads="1" noChangeAspect="1"/>
                                </pic:cNvPicPr>
                              </pic:nvPicPr>
                              <pic:blipFill>
                                <a:blip r:embed="rId11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21"/>
              </w:tc>
            </w:tr>
          </w:tbl>
          <w:p/>
        </w:tc>
        <w:tc>
          <w:tcPr/>
          <w:tbl>
            <w:tblPr>
              <w:tblStyle w:val="Table"/>
              <w:tblW w:type="pct" w:w="4900"/>
              <w:tblLayout w:type="fixed"/>
              <w:tblLook w:firstRow="0" w:lastRow="0" w:firstColumn="0" w:lastColumn="0" w:noHBand="0" w:noVBand="0" w:val="0000"/>
            </w:tblPr>
            <w:tblGrid>
              <w:gridCol w:w="7761"/>
            </w:tblGrid>
            <w:tr>
              <w:tc>
                <w:tcPr/>
                <w:bookmarkStart w:id="125" w:name="fig-CurvasLognormal-4"/>
                <w:p>
                  <w:pPr>
                    <w:pStyle w:val="Compact"/>
                    <w:jc w:val="center"/>
                    <w:jc w:val="left"/>
                  </w:pPr>
                  <w:r>
                    <w:drawing>
                      <wp:inline>
                        <wp:extent cx="2971800" cy="2377440"/>
                        <wp:effectExtent b="0" l="0" r="0" t="0"/>
                        <wp:docPr descr="" title="" id="123" name="Picture"/>
                        <a:graphic>
                          <a:graphicData uri="http://schemas.openxmlformats.org/drawingml/2006/picture">
                            <pic:pic>
                              <pic:nvPicPr>
                                <pic:cNvPr descr="CIII_TEC_PARAM_files/figure-docx/fig-CurvasLognormal-4.png" id="124" name="Picture"/>
                                <pic:cNvPicPr>
                                  <a:picLocks noChangeArrowheads="1" noChangeAspect="1"/>
                                </pic:cNvPicPr>
                              </pic:nvPicPr>
                              <pic:blipFill>
                                <a:blip r:embed="rId1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25"/>
              </w:tc>
            </w:tr>
          </w:tbl>
          <w:p/>
        </w:tc>
      </w:tr>
    </w:tbl>
    <w:p>
      <w:pPr>
        <w:pStyle w:val="BodyText"/>
      </w:pPr>
      <w:pPr>
        <w:spacing w:before="200"/>
        <w:pStyle w:val="ImageCaption"/>
      </w:pPr>
      <w:r>
        <w:t xml:space="preserve">Figura 3.3: Funções Densidade de Probabilidade, Sobrevivência, Risco e Risco Acumulado segundo uma Distribuição Log-normal para diferentes valores do parâmetro de média.</w:t>
      </w:r>
    </w:p>
    <w:bookmarkEnd w:id="126"/>
    <w:bookmarkStart w:id="127" w:name="algumas-considerações-2"/>
    <w:p>
      <w:pPr>
        <w:pStyle w:val="Heading4"/>
      </w:pPr>
      <w:r>
        <w:t xml:space="preserve">3.2.3.1 Algumas considerações</w:t>
      </w:r>
    </w:p>
    <w:p>
      <w:pPr>
        <w:pStyle w:val="FirstParagraph"/>
      </w:pPr>
      <w:r>
        <w:t xml:space="preserve">A média e a variância da distribuição log-normal são, respectivamente, dadas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sSup>
            <m:e>
              <m:r>
                <m:t>σ</m:t>
              </m:r>
            </m:e>
            <m:sup>
              <m:r>
                <m:t>2</m:t>
              </m:r>
            </m:sup>
          </m:sSup>
          <m:r>
            <m:rPr>
              <m:sty m:val="p"/>
            </m:rPr>
            <m:t>/</m:t>
          </m:r>
          <m:r>
            <m:t>2</m:t>
          </m:r>
          <m:r>
            <m:rPr>
              <m:sty m:val="p"/>
            </m:rPr>
            <m:t>}</m:t>
          </m:r>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t>1</m:t>
              </m:r>
              <m:r>
                <m:rPr>
                  <m:sty m:val="p"/>
                </m:rPr>
                <m:t>}</m:t>
              </m:r>
            </m:e>
          </m:d>
        </m:oMath>
      </m:oMathPara>
    </w:p>
    <w:bookmarkEnd w:id="127"/>
    <w:bookmarkEnd w:id="128"/>
    <w:bookmarkEnd w:id="129"/>
    <w:bookmarkStart w:id="146" w:name="estimação-de-parâmetros"/>
    <w:p>
      <w:pPr>
        <w:pStyle w:val="Heading2"/>
      </w:pPr>
      <w:r>
        <w:t xml:space="preserve">3.3 Estimação de Parâmetros</w:t>
      </w:r>
    </w:p>
    <w:p>
      <w:pPr>
        <w:pStyle w:val="FirstParagraph"/>
      </w:pPr>
      <w:r>
        <w:t xml:space="preserve">Foram apresentados alguns modelos probabilísticos. Esses modelos possuem quantidades desconhecidas, denominadas</w:t>
      </w:r>
      <w:r>
        <w:t xml:space="preserve"> </w:t>
      </w:r>
      <w:r>
        <w:rPr>
          <w:b/>
          <w:bCs/>
        </w:rPr>
        <w:t xml:space="preserve">parâmetros</w:t>
      </w:r>
      <w:r>
        <w:t xml:space="preserve">, ou</w:t>
      </w:r>
      <w:r>
        <w:t xml:space="preserve"> </w:t>
      </w:r>
      <w:r>
        <w:rPr>
          <w:b/>
          <w:bCs/>
        </w:rPr>
        <w:t xml:space="preserve">parâmetro</w:t>
      </w:r>
      <w:r>
        <w:t xml:space="preserve">, quando o modelo depende de uma única quantidade desconhecida, como no caso da distribuição exponencial.</w:t>
      </w:r>
    </w:p>
    <w:bookmarkStart w:id="131"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baseia-se no princípio de que, a partir de uma amostra aleatória, a melhor estimativa para o parâmetro de interesse é aquela que maximiza a probabilidade daquela amostra observada ter sido observada</w:t>
      </w:r>
      <w:r>
        <w:t xml:space="preserve"> </w:t>
      </w:r>
      <w:r>
        <w:t xml:space="preserve">(Bussab e Morettin 2010)</w:t>
      </w:r>
      <w:r>
        <w:t xml:space="preserve">.</w:t>
      </w:r>
    </w:p>
    <w:p>
      <w:pPr>
        <w:pStyle w:val="BodyText"/>
      </w:pPr>
      <w:r>
        <w:t xml:space="preserve">De forma simples, o método de máxima verossimilhança condensa toda a informação contida na amostra, por meio da</w:t>
      </w:r>
      <w:r>
        <w:t xml:space="preserve"> </w:t>
      </w:r>
      <w:r>
        <w:rPr>
          <w:b/>
          <w:bCs/>
        </w:rPr>
        <w:t xml:space="preserve">função de verossimilhança</w:t>
      </w:r>
      <w:r>
        <w:t xml:space="preserve">, para encontrar o(s) parâmetro(s) da distribuição que melhor expliquem os dados. Essa abordagem utiliza o produtório das densidades</w:t>
      </w:r>
      <w:r>
        <w:t xml:space="preserve"> </w:t>
      </w:r>
      <m:oMath>
        <m:r>
          <m:t>f</m:t>
        </m:r>
        <m:d>
          <m:dPr>
            <m:begChr m:val="("/>
            <m:endChr m:val=")"/>
            <m:sepChr m:val=""/>
            <m:grow/>
          </m:dPr>
          <m:e>
            <m:r>
              <m:t>t</m:t>
            </m:r>
          </m:e>
        </m:d>
      </m:oMath>
      <w:r>
        <w:t xml:space="preserve"> </w:t>
      </w:r>
      <w:r>
        <w:t xml:space="preserve">para cada observação</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introdutórios de estatística, a função de verossimilhança é definida da seguinte maneira, para um parâmetro ou vetor de parâmetros</w:t>
      </w:r>
      <w:r>
        <w:t xml:space="preserve"> </w:t>
      </w:r>
      <m:oMath>
        <m:r>
          <m:t>θ</m:t>
        </m:r>
      </m:oMath>
      <w:r>
        <w:t xml:space="preserv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Observe que</w:t>
      </w:r>
      <w:r>
        <w:t xml:space="preserve"> </w:t>
      </w:r>
      <m:oMath>
        <m:r>
          <m:t>L</m:t>
        </m:r>
      </m:oMath>
      <w:r>
        <w:t xml:space="preserve"> </w:t>
      </w:r>
      <w:r>
        <w:t xml:space="preserve">é uma função de</w:t>
      </w:r>
      <w:r>
        <w:t xml:space="preserve"> </w:t>
      </w:r>
      <m:oMath>
        <m:r>
          <m:t>θ</m:t>
        </m:r>
      </m:oMath>
      <w:r>
        <w:t xml:space="preserve">, que pode ser um único parâmetro ou um vetor de parâmetros, como ocorre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No entanto, em análise de sobrevivência, essa definição tradicional de verossimilhança é insuficiente, pois os dados frequentemente apresentam</w:t>
      </w:r>
      <w:r>
        <w:t xml:space="preserve"> </w:t>
      </w:r>
      <w:r>
        <w:rPr>
          <w:b/>
          <w:bCs/>
        </w:rPr>
        <w:t xml:space="preserve">censura</w:t>
      </w:r>
      <w:r>
        <w:t xml:space="preserve">, o que implica que o tempo de falha pode ser apenas parcialmente observado.</w:t>
      </w:r>
    </w:p>
    <w:p>
      <w:pPr>
        <w:pStyle w:val="BodyText"/>
      </w:pPr>
      <w:r>
        <w:t xml:space="preserve">Para lidar com essa característica, utiliza-se 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identifica se o</w:t>
      </w:r>
      <w:r>
        <w:t xml:space="preserve"> </w:t>
      </w:r>
      <m:oMath>
        <m:r>
          <m:t>i</m:t>
        </m:r>
      </m:oMath>
      <w:r>
        <w:t xml:space="preserve">-ésimo tempo é um tempo de falha ou de censura. Com base nessa informação, a função de verossimilhança é ajustada da seguinte forma:</w:t>
      </w:r>
    </w:p>
    <w:p>
      <w:pPr>
        <w:pStyle w:val="Compact"/>
        <w:numPr>
          <w:ilvl w:val="0"/>
          <w:numId w:val="1005"/>
        </w:numPr>
      </w:pPr>
      <w:r>
        <w:t xml:space="preserve">Para</w:t>
      </w:r>
      <w:r>
        <w:t xml:space="preserve"> </w:t>
      </w:r>
      <m:oMath>
        <m:sSub>
          <m:e>
            <m:r>
              <m:t>δ</m:t>
            </m:r>
          </m:e>
          <m:sub>
            <m:r>
              <m:t>i</m:t>
            </m:r>
          </m:sub>
        </m:sSub>
        <m:r>
          <m:rPr>
            <m:sty m:val="p"/>
          </m:rPr>
          <m:t>=</m:t>
        </m:r>
        <m:r>
          <m:t>1</m:t>
        </m:r>
      </m:oMath>
      <w:r>
        <w:t xml:space="preserve">, o</w:t>
      </w:r>
      <w:r>
        <w:t xml:space="preserve"> </w:t>
      </w:r>
      <m:oMath>
        <m:r>
          <m:t>i</m:t>
        </m:r>
      </m:oMath>
      <w:r>
        <w:t xml:space="preserve">-ésimo tempo é um tempo de falha, e sua contribuição para</w:t>
      </w:r>
      <w:r>
        <w:t xml:space="preserve"> </w:t>
      </w:r>
      <m:oMath>
        <m:r>
          <m:t>L</m:t>
        </m:r>
        <m:d>
          <m:dPr>
            <m:begChr m:val="("/>
            <m:endChr m:val=")"/>
            <m:sepChr m:val=""/>
            <m:grow/>
          </m:dPr>
          <m:e>
            <m:r>
              <m:t>θ</m:t>
            </m:r>
          </m:e>
        </m:d>
      </m:oMath>
      <w:r>
        <w:t xml:space="preserve"> </w:t>
      </w:r>
      <w:r>
        <w:t xml:space="preserve">é a densidade de probabilidade</w:t>
      </w:r>
      <w:r>
        <w:t xml:space="preserve"> </w:t>
      </w:r>
      <m:oMath>
        <m:r>
          <m:t>f</m:t>
        </m:r>
        <m:d>
          <m:dPr>
            <m:begChr m:val="("/>
            <m:endChr m:val=")"/>
            <m:sepChr m:val=""/>
            <m:grow/>
          </m:dPr>
          <m:e>
            <m:sSub>
              <m:e>
                <m:r>
                  <m:t>t</m:t>
                </m:r>
              </m:e>
              <m:sub>
                <m:r>
                  <m:t>i</m:t>
                </m:r>
              </m:sub>
            </m:sSub>
            <m:r>
              <m:rPr>
                <m:sty m:val="p"/>
              </m:rPr>
              <m:t>,</m:t>
            </m:r>
            <m:r>
              <m:t>θ</m:t>
            </m:r>
          </m:e>
        </m:d>
      </m:oMath>
      <w:r>
        <w:t xml:space="preserve">.</w:t>
      </w:r>
    </w:p>
    <w:p>
      <w:pPr>
        <w:pStyle w:val="Compact"/>
        <w:numPr>
          <w:ilvl w:val="0"/>
          <w:numId w:val="1005"/>
        </w:numPr>
      </w:pPr>
      <w:r>
        <w:t xml:space="preserve">Para</w:t>
      </w:r>
      <w:r>
        <w:t xml:space="preserve"> </w:t>
      </w:r>
      <m:oMath>
        <m:sSub>
          <m:e>
            <m:r>
              <m:t>δ</m:t>
            </m:r>
          </m:e>
          <m:sub>
            <m:r>
              <m:t>i</m:t>
            </m:r>
          </m:sub>
        </m:sSub>
        <m:r>
          <m:rPr>
            <m:sty m:val="p"/>
          </m:rPr>
          <m:t>=</m:t>
        </m:r>
        <m:r>
          <m:t>0</m:t>
        </m:r>
      </m:oMath>
      <w:r>
        <w:t xml:space="preserve">, o</w:t>
      </w:r>
      <w:r>
        <w:t xml:space="preserve"> </w:t>
      </w:r>
      <m:oMath>
        <m:r>
          <m:t>i</m:t>
        </m:r>
      </m:oMath>
      <w:r>
        <w:t xml:space="preserve">-ésimo tempo é um tempo censurado, e sua contribuição para</w:t>
      </w:r>
      <w:r>
        <w:t xml:space="preserve"> </w:t>
      </w:r>
      <m:oMath>
        <m:r>
          <m:t>L</m:t>
        </m:r>
        <m:d>
          <m:dPr>
            <m:begChr m:val="("/>
            <m:endChr m:val=")"/>
            <m:sepChr m:val=""/>
            <m:grow/>
          </m:dPr>
          <m:e>
            <m:r>
              <m:t>θ</m:t>
            </m:r>
          </m:e>
        </m:d>
      </m:oMath>
      <w:r>
        <w:t xml:space="preserve"> </w:t>
      </w:r>
      <w:r>
        <w:t xml:space="preserve">é a função de sobrevivência</w:t>
      </w:r>
      <w:r>
        <w:t xml:space="preserve"> </w:t>
      </w:r>
      <m:oMath>
        <m:r>
          <m:t>S</m:t>
        </m:r>
        <m:d>
          <m:dPr>
            <m:begChr m:val="("/>
            <m:endChr m:val=")"/>
            <m:sepChr m:val=""/>
            <m:grow/>
          </m:dPr>
          <m:e>
            <m:sSub>
              <m:e>
                <m:r>
                  <m:t>t</m:t>
                </m:r>
              </m:e>
              <m:sub>
                <m:r>
                  <m:t>i</m:t>
                </m:r>
              </m:sub>
            </m:sSub>
          </m:e>
        </m:d>
      </m:oMath>
      <w:r>
        <w:t xml:space="preserve">.</w:t>
      </w:r>
    </w:p>
    <w:p>
      <w:pPr>
        <w:pStyle w:val="FirstParagraph"/>
      </w:pPr>
      <w:r>
        <w:t xml:space="preserve">Assim, a função de verossimilhança ajustada, que incorpora dados censurados, é expressa como:</w:t>
      </w:r>
    </w:p>
    <w:p>
      <w:pPr>
        <w:pStyle w:val="BodyText"/>
      </w:pPr>
      <w:bookmarkStart w:id="130"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e>
          </m:nary>
          <m:sSup>
            <m:e>
              <m:d>
                <m:dPr>
                  <m:begChr m:val="["/>
                  <m:endChr m:val="]"/>
                  <m:sepChr m:val=""/>
                  <m:grow/>
                </m:dPr>
                <m:e>
                  <m:r>
                    <m:t>S</m:t>
                  </m:r>
                  <m:d>
                    <m:dPr>
                      <m:begChr m:val="("/>
                      <m:endChr m:val=")"/>
                      <m:sepChr m:val=""/>
                      <m:grow/>
                    </m:dPr>
                    <m:e>
                      <m:sSub>
                        <m:e>
                          <m:r>
                            <m:t>t</m:t>
                          </m:r>
                        </m:e>
                        <m:sub>
                          <m:r>
                            <m:t>i</m:t>
                          </m:r>
                        </m:sub>
                      </m:sSub>
                      <m:r>
                        <m:rPr>
                          <m:sty m:val="p"/>
                        </m:rPr>
                        <m:t>,</m:t>
                      </m:r>
                      <m:r>
                        <m:t>θ</m:t>
                      </m:r>
                    </m:e>
                  </m:d>
                </m:e>
              </m:d>
            </m:e>
            <m:sup>
              <m:r>
                <m:t>1</m:t>
              </m:r>
              <m:r>
                <m:rPr>
                  <m:sty m:val="p"/>
                </m:rPr>
                <m:t>−</m:t>
              </m:r>
              <m:sSub>
                <m:e>
                  <m:r>
                    <m:t>δ</m:t>
                  </m:r>
                </m:e>
                <m:sub>
                  <m:r>
                    <m:t>i</m:t>
                  </m:r>
                </m:sub>
              </m:sSub>
            </m:sup>
          </m:sSup>
          <m:r>
            <m:rPr>
              <m:sty m:val="p"/>
            </m:rPr>
            <m:t>.</m:t>
          </m:r>
          <m:r>
            <m:t>  </m:t>
          </m:r>
          <m:d>
            <m:dPr>
              <m:begChr m:val="("/>
              <m:endChr m:val=")"/>
              <m:sepChr m:val=""/>
              <m:grow/>
            </m:dPr>
            <m:e>
              <m:r>
                <m:t>3.11</m:t>
              </m:r>
            </m:e>
          </m:d>
        </m:oMath>
      </m:oMathPara>
      <w:bookmarkEnd w:id="130"/>
    </w:p>
    <w:p>
      <w:pPr>
        <w:pStyle w:val="FirstParagraph"/>
      </w:pPr>
      <w:r>
        <w:t xml:space="preserve">Para encontrar o valor de</w:t>
      </w:r>
      <w:r>
        <w:t xml:space="preserve"> </w:t>
      </w:r>
      <m:oMath>
        <m:r>
          <m:t>θ</m:t>
        </m:r>
      </m:oMath>
      <w:r>
        <w:t xml:space="preserve"> </w:t>
      </w:r>
      <w:r>
        <w:t xml:space="preserve">que maximiza</w:t>
      </w:r>
      <w:r>
        <w:t xml:space="preserve"> </w:t>
      </w:r>
      <m:oMath>
        <m:r>
          <m:t>L</m:t>
        </m:r>
        <m:d>
          <m:dPr>
            <m:begChr m:val="("/>
            <m:endChr m:val=")"/>
            <m:sepChr m:val=""/>
            <m:grow/>
          </m:dPr>
          <m:e>
            <m:r>
              <m:t>θ</m:t>
            </m:r>
          </m:e>
        </m:d>
      </m:oMath>
      <w:r>
        <w:t xml:space="preserve">, utiliza-se a derivada do logaritmo da verossimilhança, igualando-a a zero:</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θ</m:t>
                      </m:r>
                    </m:e>
                  </m:d>
                </m:e>
              </m:d>
            </m:num>
            <m:den>
              <m:r>
                <m:rPr>
                  <m:sty m:val="p"/>
                </m:rPr>
                <m:t>∂</m:t>
              </m:r>
              <m:r>
                <m:t>θ</m:t>
              </m:r>
            </m:den>
          </m:f>
          <m:r>
            <m:rPr>
              <m:sty m:val="p"/>
            </m:rPr>
            <m:t>=</m:t>
          </m:r>
          <m:r>
            <m:t>0</m:t>
          </m:r>
          <m:r>
            <m:rPr>
              <m:sty m:val="p"/>
            </m:rPr>
            <m:t>.</m:t>
          </m:r>
        </m:oMath>
      </m:oMathPara>
    </w:p>
    <w:p>
      <w:pPr>
        <w:pStyle w:val="FirstParagraph"/>
      </w:pPr>
      <w:r>
        <w:t xml:space="preserve">A solução dessa equação fornece o valor de</w:t>
      </w:r>
      <w:r>
        <w:t xml:space="preserve"> </w:t>
      </w:r>
      <m:oMath>
        <m:r>
          <m:t>θ</m:t>
        </m:r>
      </m:oMath>
      <w:r>
        <w:t xml:space="preserve"> </w:t>
      </w:r>
      <w:r>
        <w:t xml:space="preserve">que maximiza</w:t>
      </w:r>
      <w:r>
        <w:t xml:space="preserve"> </w:t>
      </w:r>
      <m:oMath>
        <m:r>
          <m:rPr>
            <m:sty m:val="p"/>
          </m:rPr>
          <m:t>ln</m:t>
        </m:r>
        <m:d>
          <m:dPr>
            <m:begChr m:val="["/>
            <m:endChr m:val="]"/>
            <m:sepChr m:val=""/>
            <m:grow/>
          </m:dPr>
          <m:e>
            <m:r>
              <m:t>L</m:t>
            </m:r>
            <m:d>
              <m:dPr>
                <m:begChr m:val="("/>
                <m:endChr m:val=")"/>
                <m:sepChr m:val=""/>
                <m:grow/>
              </m:dPr>
              <m:e>
                <m:r>
                  <m:t>θ</m:t>
                </m:r>
              </m:e>
            </m:d>
          </m:e>
        </m:d>
      </m:oMath>
      <w:r>
        <w:t xml:space="preserve">, e consequentemente,</w:t>
      </w:r>
      <w:r>
        <w:t xml:space="preserve"> </w:t>
      </w:r>
      <m:oMath>
        <m:r>
          <m:t>L</m:t>
        </m:r>
        <m:d>
          <m:dPr>
            <m:begChr m:val="("/>
            <m:endChr m:val=")"/>
            <m:sepChr m:val=""/>
            <m:grow/>
          </m:dPr>
          <m:e>
            <m:r>
              <m:t>θ</m:t>
            </m:r>
          </m:e>
        </m:d>
      </m:oMath>
      <w:r>
        <w:t xml:space="preserve">.</w:t>
      </w:r>
    </w:p>
    <w:bookmarkEnd w:id="131"/>
    <w:bookmarkStart w:id="145" w:name="aplicações-no-caso-de-não-haver-censura"/>
    <w:p>
      <w:pPr>
        <w:pStyle w:val="Heading3"/>
      </w:pPr>
      <w:r>
        <w:t xml:space="preserve">3.3.2 Aplicações no Caso de Não Haver Censura</w:t>
      </w:r>
    </w:p>
    <w:p>
      <w:pPr>
        <w:pStyle w:val="FirstParagraph"/>
      </w:pPr>
      <w:r>
        <w:t xml:space="preserve">Nesta seção, será demonstrado como determinar o estimador ou os estimadores de máxima verossimilhança para os parâmetros das distribuições discutidas.</w:t>
      </w:r>
    </w:p>
    <w:bookmarkStart w:id="137" w:name="distribuição-exponencial"/>
    <w:p>
      <w:pPr>
        <w:pStyle w:val="Heading4"/>
      </w:pPr>
      <w:r>
        <w:t xml:space="preserve">3.3.2.1 Distribuição Exponencial</w:t>
      </w:r>
    </w:p>
    <w:p>
      <w:pPr>
        <w:pStyle w:val="FirstParagraph"/>
      </w:pPr>
      <w:r>
        <w:t xml:space="preserve">Considere a distribuição exponencial conforme descrita na</w:t>
      </w:r>
      <w:r>
        <w:t xml:space="preserve"> </w:t>
      </w:r>
      <w:hyperlink w:anchor="sec-DistExp">
        <w:r>
          <w:rPr>
            <w:rStyle w:val="Hyperlink"/>
          </w:rPr>
          <w:t xml:space="preserve">Seção 3.2.1</w:t>
        </w:r>
      </w:hyperlink>
      <w:r>
        <w:t xml:space="preserve">. O</w:t>
      </w:r>
      <w:r>
        <w:t xml:space="preserve"> </w:t>
      </w:r>
      <w:r>
        <w:rPr>
          <w:b/>
          <w:bCs/>
        </w:rPr>
        <w:t xml:space="preserve">Estimador de Máxima Verossimilhança (EMV)</w:t>
      </w:r>
      <w:r>
        <w:t xml:space="preserve"> </w:t>
      </w:r>
      <w:r>
        <w:t xml:space="preserve">do parâmetro</w:t>
      </w:r>
      <w:r>
        <w:t xml:space="preserve"> </w:t>
      </w:r>
      <m:oMath>
        <m:r>
          <m:t>α</m:t>
        </m:r>
      </m:oMath>
      <w:r>
        <w:t xml:space="preserve"> </w:t>
      </w:r>
      <w:r>
        <w:t xml:space="preserve">pode ser obtido seguindo os passos descritos a seguir:</w:t>
      </w:r>
    </w:p>
    <w:p>
      <w:pPr>
        <w:pStyle w:val="Compact"/>
        <w:numPr>
          <w:ilvl w:val="0"/>
          <w:numId w:val="1006"/>
        </w:numPr>
      </w:pPr>
      <w:r>
        <w:t xml:space="preserve">Definir a Função de Verossimilhança</w:t>
      </w:r>
      <w:r>
        <w:t xml:space="preserve"> </w:t>
      </w:r>
      <m:oMath>
        <m:r>
          <m:t>L</m:t>
        </m:r>
        <m:d>
          <m:dPr>
            <m:begChr m:val="("/>
            <m:endChr m:val=")"/>
            <m:sepChr m:val=""/>
            <m:grow/>
          </m:dPr>
          <m:e>
            <m:r>
              <m:t>α</m:t>
            </m:r>
          </m:e>
        </m:d>
      </m:oMath>
      <w:r>
        <w:t xml:space="preserve">:</w:t>
      </w:r>
    </w:p>
    <w:p>
      <w:pPr>
        <w:pStyle w:val="Compact"/>
        <w:numPr>
          <w:ilvl w:val="0"/>
          <w:numId w:val="1007"/>
        </w:numPr>
      </w:pPr>
      <w:r>
        <w:t xml:space="preserve">Tomar o logaritmo da função verossimilhança</w:t>
      </w:r>
      <w:r>
        <w:t xml:space="preserve"> </w:t>
      </w:r>
      <m:oMath>
        <m:r>
          <m:rPr>
            <m:sty m:val="p"/>
          </m:rPr>
          <m:t>ln</m:t>
        </m:r>
        <m:d>
          <m:dPr>
            <m:begChr m:val="["/>
            <m:endChr m:val="]"/>
            <m:sepChr m:val=""/>
            <m:grow/>
          </m:dPr>
          <m:e>
            <m:r>
              <m:t>L</m:t>
            </m:r>
            <m:d>
              <m:dPr>
                <m:begChr m:val="("/>
                <m:endChr m:val=")"/>
                <m:sepChr m:val=""/>
                <m:grow/>
              </m:dPr>
              <m:e>
                <m:r>
                  <m:t>α</m:t>
                </m:r>
              </m:e>
            </m:d>
          </m:e>
        </m:d>
      </m:oMath>
      <w:r>
        <w:t xml:space="preserve">:</w:t>
      </w:r>
    </w:p>
    <w:p>
      <w:pPr>
        <w:pStyle w:val="Compact"/>
        <w:numPr>
          <w:ilvl w:val="0"/>
          <w:numId w:val="1008"/>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Compact"/>
        <w:numPr>
          <w:ilvl w:val="0"/>
          <w:numId w:val="1009"/>
        </w:numPr>
      </w:pPr>
      <w:r>
        <w:t xml:space="preserve">Igualar a derivada a zero e resolver para</w:t>
      </w:r>
      <w:r>
        <w:t xml:space="preserve"> </w:t>
      </w:r>
      <m:oMath>
        <m:r>
          <m:t>α</m:t>
        </m:r>
      </m:oMath>
      <w:r>
        <w:t xml:space="preserve">:</w:t>
      </w:r>
    </w:p>
    <w:p>
      <w:pPr>
        <w:pStyle w:val="FirstParagraph"/>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 Logo, o EMV para</w:t>
      </w:r>
      <w:r>
        <w:t xml:space="preserve"> </w:t>
      </w:r>
      <m:oMath>
        <m:r>
          <m:t>α</m:t>
        </m:r>
      </m:oMath>
      <w:r>
        <w:t xml:space="preserve"> </w:t>
      </w:r>
      <w:r>
        <w:t xml:space="preserve">no caso de não haver censura nos dados é:</w:t>
      </w:r>
    </w:p>
    <w:p>
      <w:pPr>
        <w:pStyle w:val="BodyText"/>
      </w:pPr>
      <m:oMathPara>
        <m:oMathParaPr>
          <m:jc m:val="center"/>
        </m:oMathParaPr>
        <m:oMath>
          <m:acc>
            <m:accPr>
              <m:chr m:val="̂"/>
            </m:accPr>
            <m:e>
              <m:r>
                <m:t>α</m:t>
              </m:r>
            </m:e>
          </m:acc>
          <m:r>
            <m:rPr>
              <m:sty m:val="p"/>
            </m:rPr>
            <m:t>=</m:t>
          </m:r>
          <m:f>
            <m:fPr>
              <m:type m:val="bar"/>
            </m:fPr>
            <m:num>
              <m:r>
                <m:t>n</m:t>
              </m:r>
            </m:num>
            <m:den>
              <m:nary>
                <m:naryPr>
                  <m:chr m:val="∑"/>
                  <m:limLoc m:val="undOvr"/>
                  <m:subHide m:val="off"/>
                  <m:supHide m:val="off"/>
                </m:naryPr>
                <m:sub>
                  <m:r>
                    <m:t>i</m:t>
                  </m:r>
                  <m:r>
                    <m:rPr>
                      <m:sty m:val="p"/>
                    </m:rPr>
                    <m:t>=</m:t>
                  </m:r>
                  <m:r>
                    <m:t>1</m:t>
                  </m:r>
                </m:sub>
                <m:sup>
                  <m:r>
                    <m:t>n</m:t>
                  </m:r>
                </m:sup>
                <m:e>
                  <m:sSub>
                    <m:e>
                      <m:r>
                        <m:t>t</m:t>
                      </m:r>
                    </m:e>
                    <m:sub>
                      <m:r>
                        <m:t>i</m:t>
                      </m:r>
                    </m:sub>
                  </m:sSub>
                </m:e>
              </m:nary>
            </m:den>
          </m:f>
        </m:oMath>
      </m:oMathPara>
    </w:p>
    <w:p>
      <w:pPr>
        <w:pStyle w:val="FirstParagraph"/>
      </w:pPr>
      <w:r>
        <w:t xml:space="preserve">A seguir, apresentamos um exemplo computacional. Simulou-se uma amostra proveniente de uma distribuição exponencial e, a partir dessa amostra, obteve-se a estimativa de máxima verossimilhança (EMV) para o parâmetro</w:t>
      </w:r>
      <w:r>
        <w:t xml:space="preserve"> </w:t>
      </w:r>
      <m:oMath>
        <m:r>
          <m:t>α</m:t>
        </m:r>
      </m:oMath>
      <w:r>
        <w:t xml:space="preserve">.</w:t>
      </w:r>
    </w:p>
    <w:p>
      <w:pPr>
        <w:pStyle w:val="SourceCode"/>
      </w:pPr>
      <w:r>
        <w:rPr>
          <w:rStyle w:val="CommentTok"/>
        </w:rPr>
        <w:t xml:space="preserve"># Configuração inicial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alpha </w:t>
      </w:r>
      <w:r>
        <w:rPr>
          <w:rStyle w:val="OtherTok"/>
        </w:rPr>
        <w:t xml:space="preserve">&lt;-</w:t>
      </w:r>
      <w:r>
        <w:rPr>
          <w:rStyle w:val="NormalTok"/>
        </w:rPr>
        <w:t xml:space="preserve"> </w:t>
      </w:r>
      <w:r>
        <w:rPr>
          <w:rStyle w:val="FloatTok"/>
        </w:rPr>
        <w:t xml:space="preserve">1.75</w:t>
      </w:r>
      <w:r>
        <w:rPr>
          <w:rStyle w:val="NormalTok"/>
        </w:rPr>
        <w:t xml:space="preserve"> </w:t>
      </w:r>
      <w:r>
        <w:rPr>
          <w:rStyle w:val="CommentTok"/>
        </w:rPr>
        <w:t xml:space="preserve"># Parâmetro verdadeiro</w:t>
      </w:r>
      <w:r>
        <w:br/>
      </w:r>
      <w:r>
        <w:br/>
      </w:r>
      <w:r>
        <w:rPr>
          <w:rStyle w:val="CommentTok"/>
        </w:rPr>
        <w:t xml:space="preserve"># ---------------------------</w:t>
      </w:r>
      <w:r>
        <w:br/>
      </w:r>
      <w:r>
        <w:rPr>
          <w:rStyle w:val="CommentTok"/>
        </w:rPr>
        <w:t xml:space="preserve"># [1] Função de Sobrevivência</w:t>
      </w:r>
      <w:r>
        <w:br/>
      </w:r>
      <w:r>
        <w:rPr>
          <w:rStyle w:val="CommentTok"/>
        </w:rPr>
        <w:t xml:space="preserve"># ---------------------------</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 Simulação e Estimação</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alpha) </w:t>
      </w:r>
      <w:r>
        <w:rPr>
          <w:rStyle w:val="CommentTok"/>
        </w:rPr>
        <w:t xml:space="preserve"># Simulação de tempos de sobrevivência</w:t>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Estimador de Máxima Verossimilhança (EMV)</w:t>
      </w:r>
      <w:r>
        <w:br/>
      </w:r>
      <w:r>
        <w:br/>
      </w:r>
      <w:r>
        <w:rPr>
          <w:rStyle w:val="CommentTok"/>
        </w:rPr>
        <w:t xml:space="preserve"># -------------------------</w:t>
      </w:r>
      <w:r>
        <w:br/>
      </w:r>
      <w:r>
        <w:rPr>
          <w:rStyle w:val="CommentTok"/>
        </w:rPr>
        <w:t xml:space="preserve"># [3] Organização dos Dados</w:t>
      </w:r>
      <w:r>
        <w:br/>
      </w:r>
      <w:r>
        <w:rPr>
          <w:rStyle w:val="CommentTok"/>
        </w:rPr>
        <w:t xml:space="preserve"># -------------------------</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StEst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emvExp)</w:t>
      </w:r>
      <w:r>
        <w:br/>
      </w:r>
      <w:r>
        <w:rPr>
          <w:rStyle w:val="NormalTok"/>
        </w:rPr>
        <w:t xml:space="preserve">)</w:t>
      </w:r>
    </w:p>
    <w:p>
      <w:pPr>
        <w:pStyle w:val="FirstParagraph"/>
      </w:pPr>
      <w:r>
        <w:t xml:space="preserve">O valor verdadeiro do parâmetro é</w:t>
      </w:r>
      <w:r>
        <w:t xml:space="preserve"> </w:t>
      </w:r>
      <m:oMath>
        <m:r>
          <m:t>α</m:t>
        </m:r>
        <m:r>
          <m:rPr>
            <m:sty m:val="p"/>
          </m:rPr>
          <m:t>=</m:t>
        </m:r>
      </m:oMath>
      <w:r>
        <w:t xml:space="preserve"> </w:t>
      </w:r>
      <w:r>
        <w:t xml:space="preserve">1.75. A estimativa de máxima verossimilhança obtida foi</w:t>
      </w:r>
      <w:r>
        <w:t xml:space="preserve"> </w:t>
      </w:r>
      <m:oMath>
        <m:acc>
          <m:accPr>
            <m:chr m:val="̂"/>
          </m:accPr>
          <m:e>
            <m:r>
              <m:t>α</m:t>
            </m:r>
          </m:e>
        </m:acc>
        <m:r>
          <m:rPr>
            <m:sty m:val="p"/>
          </m:rPr>
          <m:t>=</m:t>
        </m:r>
      </m:oMath>
      <w:r>
        <w:t xml:space="preserve"> </w:t>
      </w:r>
      <w:r>
        <w:t xml:space="preserve">1.7.</w:t>
      </w:r>
    </w:p>
    <w:p>
      <w:pPr>
        <w:pStyle w:val="BodyText"/>
      </w:pPr>
      <w:r>
        <w:t xml:space="preserve">Veja a</w:t>
      </w:r>
      <w:r>
        <w:t xml:space="preserve"> </w:t>
      </w:r>
      <w:hyperlink w:anchor="tbl-EMVexpSt">
        <w:r>
          <w:rPr>
            <w:rStyle w:val="Hyperlink"/>
          </w:rPr>
          <w:t xml:space="preserve">Tabela 3.1</w:t>
        </w:r>
      </w:hyperlink>
      <w:r>
        <w:t xml:space="preserve">, que apresenta as dez primeiras observações e suas respectivas funções de sobrevivência real e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2" w:name="tbl-EMVexpSt"/>
          <w:p>
            <w:pPr>
              <w:jc w:val="center"/>
            </w:pPr>
            <w:pPr>
              <w:jc w:val="start"/>
              <w:spacing w:before="200"/>
              <w:pStyle w:val="ImageCaption"/>
            </w:pPr>
            <w:r>
              <w:t xml:space="preserve">Tabela 3.1: Comparação da dez primeiras observações entre o valor Real e Estimado da Função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0.0005</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0.0008</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0.0025</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0.0026</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0.0028</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0.0032</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0.0033</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0.0036</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0.0045</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0.0052</w:t>
                  </w:r>
                </w:p>
              </w:tc>
              <w:tc>
                <w:tcPr/>
                <w:p>
                  <w:pPr>
                    <w:pStyle w:val="Compact"/>
                    <w:jc w:val="center"/>
                    <w:jc w:val="center"/>
                  </w:pPr>
                  <w:r>
                    <w:t xml:space="preserve">0.9910</w:t>
                  </w:r>
                </w:p>
              </w:tc>
              <w:tc>
                <w:tcPr/>
                <w:p>
                  <w:pPr>
                    <w:pStyle w:val="Compact"/>
                    <w:jc w:val="center"/>
                    <w:jc w:val="center"/>
                  </w:pPr>
                  <w:r>
                    <w:t xml:space="preserve">0.9913</w:t>
                  </w:r>
                </w:p>
              </w:tc>
            </w:tr>
          </w:tbl>
          <w:bookmarkEnd w:id="132"/>
          <w:p/>
        </w:tc>
      </w:tr>
    </w:tbl>
    <w:p>
      <w:pPr>
        <w:pStyle w:val="BodyText"/>
      </w:pPr>
      <w:r>
        <w:t xml:space="preserve">Na</w:t>
      </w:r>
      <w:r>
        <w:t xml:space="preserve"> </w:t>
      </w:r>
      <w:hyperlink w:anchor="fig-CompEMVexp">
        <w:r>
          <w:rPr>
            <w:rStyle w:val="Hyperlink"/>
          </w:rPr>
          <w:t xml:space="preserve">Figura 3.4</w:t>
        </w:r>
      </w:hyperlink>
      <w:r>
        <w:t xml:space="preserve">, comparamos graficamente as duas curvas de sobrevivência, ilustrando o valor real do parâmetro</w:t>
      </w:r>
      <w:r>
        <w:t xml:space="preserve"> </w:t>
      </w:r>
      <m:oMath>
        <m:r>
          <m:t>α</m:t>
        </m:r>
      </m:oMath>
      <w:r>
        <w:t xml:space="preserve"> </w:t>
      </w:r>
      <w:r>
        <w:t xml:space="preserve">e sua estimativa</w:t>
      </w:r>
      <w:r>
        <w:t xml:space="preserve"> </w:t>
      </w:r>
      <m:oMath>
        <m:acc>
          <m:accPr>
            <m:chr m:val="̂"/>
          </m:accPr>
          <m:e>
            <m:r>
              <m:t>α</m:t>
            </m:r>
          </m:e>
        </m:acc>
      </m:oMath>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FunctionTok"/>
        </w:rPr>
        <w:t xml:space="preserve">expression</w:t>
      </w:r>
      <w:r>
        <w:rPr>
          <w:rStyle w:val="NormalTok"/>
        </w:rPr>
        <w:t xml:space="preserve">(</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36" w:name="fig-CompEMVexp"/>
          <w:p>
            <w:pPr>
              <w:jc w:val="center"/>
            </w:pPr>
            <w:pPr>
              <w:jc w:val="start"/>
              <w:spacing w:before="200"/>
              <w:pStyle w:val="ImageCaption"/>
            </w:pPr>
            <w:r>
              <w:t xml:space="preserve">Figura 3.4: Comparação do verdadeiro valor do parâmetro</w:t>
            </w:r>
            <w:r>
              <w:t xml:space="preserve"> </w:t>
            </w:r>
            <m:oMath>
              <m:r>
                <m:t>α</m:t>
              </m:r>
            </m:oMath>
            <w:r>
              <w:t xml:space="preserve"> </w:t>
            </w:r>
            <w:r>
              <w:t xml:space="preserve">com sua estimativa de máxima verossimilhança.</w:t>
            </w:r>
          </w:p>
          <w:p>
            <w:pPr>
              <w:pStyle w:val="Compact"/>
              <w:jc w:val="center"/>
            </w:pPr>
            <w:r>
              <w:drawing>
                <wp:inline>
                  <wp:extent cx="4620126" cy="3696101"/>
                  <wp:effectExtent b="0" l="0" r="0" t="0"/>
                  <wp:docPr descr="" title="" id="134" name="Picture"/>
                  <a:graphic>
                    <a:graphicData uri="http://schemas.openxmlformats.org/drawingml/2006/picture">
                      <pic:pic>
                        <pic:nvPicPr>
                          <pic:cNvPr descr="CIII_TEC_PARAM_files/figure-docx/fig-CompEMVexp-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tc>
      </w:tr>
    </w:tbl>
    <w:bookmarkEnd w:id="137"/>
    <w:bookmarkStart w:id="143" w:name="distribuição-weibull"/>
    <w:p>
      <w:pPr>
        <w:pStyle w:val="Heading4"/>
      </w:pPr>
      <w:r>
        <w:t xml:space="preserve">3.3.2.2 Distribuição Weibull</w:t>
      </w:r>
    </w:p>
    <w:p>
      <w:pPr>
        <w:pStyle w:val="FirstParagraph"/>
      </w:pPr>
      <w:r>
        <w:t xml:space="preserve">Para a distribuição Weibull, apresentada na</w:t>
      </w:r>
      <w:r>
        <w:t xml:space="preserve"> </w:t>
      </w:r>
      <w:hyperlink w:anchor="sec-DistWeibull">
        <w:r>
          <w:rPr>
            <w:rStyle w:val="Hyperlink"/>
          </w:rPr>
          <w:t xml:space="preserve">Seção 3.2.2</w:t>
        </w:r>
      </w:hyperlink>
      <w:r>
        <w:t xml:space="preserve">, não há uma forma analítica para as estimativas de máxima verossimilhança dos parâmetros</w:t>
      </w:r>
      <w:r>
        <w:t xml:space="preserve"> </w:t>
      </w:r>
      <m:oMath>
        <m:r>
          <m:t>γ</m:t>
        </m:r>
      </m:oMath>
      <w:r>
        <w:t xml:space="preserve"> </w:t>
      </w:r>
      <w:r>
        <w:t xml:space="preserve">(forma) e</w:t>
      </w:r>
      <w:r>
        <w:t xml:space="preserve"> </w:t>
      </w:r>
      <m:oMath>
        <m:r>
          <m:t>α</m:t>
        </m:r>
      </m:oMath>
      <w:r>
        <w:t xml:space="preserve"> </w:t>
      </w:r>
      <w:r>
        <w:t xml:space="preserve">(escala). Assim, a obtenção dessas estimativas depende de métodos numéricos, sendo o</w:t>
      </w:r>
      <w:r>
        <w:t xml:space="preserve"> </w:t>
      </w:r>
      <w:r>
        <w:rPr>
          <w:b/>
          <w:bCs/>
        </w:rPr>
        <w:t xml:space="preserve">Método Iterativo de Newton-Raphson</w:t>
      </w:r>
      <w:r>
        <w:t xml:space="preserve"> </w:t>
      </w:r>
      <w:r>
        <w:t xml:space="preserve">uma abordagem amplamente utilizada.</w:t>
      </w:r>
    </w:p>
    <w:p>
      <w:pPr>
        <w:pStyle w:val="BodyText"/>
      </w:pPr>
      <w:r>
        <w:t xml:space="preserve">O Método de Newton-Raphson é um procedimento iterativo eficiente para resolver equações não lineares, muito empregado na estimação de parâmetros estatísticos. No ajuste de distribuições, como a Weibull 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10"/>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10"/>
        </w:numPr>
      </w:pPr>
      <m:oMath>
        <m:r>
          <m:t>L</m:t>
        </m:r>
        <m:d>
          <m:dPr>
            <m:begChr m:val="("/>
            <m:endChr m:val=")"/>
            <m:sepChr m:val=""/>
            <m:grow/>
          </m:dPr>
          <m:e>
            <m:r>
              <m:t>θ</m:t>
            </m:r>
          </m:e>
        </m:d>
      </m:oMath>
      <w:r>
        <w:t xml:space="preserve"> </w:t>
      </w:r>
      <w:r>
        <w:t xml:space="preserve">é a função log-verossimilhança;</w:t>
      </w:r>
    </w:p>
    <w:p>
      <w:pPr>
        <w:pStyle w:val="Compact"/>
        <w:numPr>
          <w:ilvl w:val="0"/>
          <w:numId w:val="1010"/>
        </w:numPr>
      </w:pPr>
      <m:oMath>
        <m:r>
          <m:rPr>
            <m:sty m:val="p"/>
          </m:rPr>
          <m:t>∇</m:t>
        </m:r>
        <m:r>
          <m:t>L</m:t>
        </m:r>
        <m:d>
          <m:dPr>
            <m:begChr m:val="("/>
            <m:endChr m:val=")"/>
            <m:sepChr m:val=""/>
            <m:grow/>
          </m:dPr>
          <m:e>
            <m:r>
              <m:t>θ</m:t>
            </m:r>
          </m:e>
        </m:d>
      </m:oMath>
      <w:r>
        <w:t xml:space="preserve"> </w:t>
      </w:r>
      <w:r>
        <w:t xml:space="preserve">é o vetor gradiente, contendo as derivadas parciais de</w:t>
      </w:r>
      <w:r>
        <w:t xml:space="preserve"> </w:t>
      </w:r>
      <m:oMath>
        <m:r>
          <m:t>L</m:t>
        </m:r>
        <m:d>
          <m:dPr>
            <m:begChr m:val="("/>
            <m:endChr m:val=")"/>
            <m:sepChr m:val=""/>
            <m:grow/>
          </m:dPr>
          <m:e>
            <m:r>
              <m:t>θ</m:t>
            </m:r>
          </m:e>
        </m:d>
      </m:oMath>
      <w:r>
        <w:t xml:space="preserve"> </w:t>
      </w:r>
      <w:r>
        <w:t xml:space="preserve">em relação aos parâmetros;</w:t>
      </w:r>
    </w:p>
    <w:p>
      <w:pPr>
        <w:pStyle w:val="Compact"/>
        <w:numPr>
          <w:ilvl w:val="0"/>
          <w:numId w:val="1010"/>
        </w:numPr>
      </w:pPr>
      <m:oMath>
        <m:r>
          <m:rPr>
            <m:sty m:val="b"/>
          </m:rPr>
          <m:t>H</m:t>
        </m:r>
        <m:d>
          <m:dPr>
            <m:begChr m:val="("/>
            <m:endChr m:val=")"/>
            <m:sepChr m:val=""/>
            <m:grow/>
          </m:dPr>
          <m:e>
            <m:r>
              <m:t>θ</m:t>
            </m:r>
          </m:e>
        </m:d>
      </m:oMath>
      <w:r>
        <w:t xml:space="preserve"> </w:t>
      </w:r>
      <w:r>
        <w:t xml:space="preserve">é a matriz Hessiana, composta pelas segundas derivadas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11"/>
        </w:numPr>
      </w:pPr>
      <w:r>
        <w:rPr>
          <w:b/>
          <w:bCs/>
        </w:rPr>
        <w:t xml:space="preserve">Eficiência</w:t>
      </w:r>
      <w:r>
        <w:t xml:space="preserve">: O método apresenta convergência rápida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11"/>
        </w:numPr>
      </w:pPr>
      <w:r>
        <w:rPr>
          <w:b/>
          <w:bCs/>
        </w:rPr>
        <w:t xml:space="preserve">Flexibilidade</w:t>
      </w:r>
      <w:r>
        <w:t xml:space="preserve">: Pode ser aplicado a diversos modelos probabilísticos, incluindo a Weibull, que é amplamente utilizada para modelar tempos de vida e dados de sobrevivência.</w:t>
      </w:r>
    </w:p>
    <w:p>
      <w:pPr>
        <w:pStyle w:val="FirstParagraph"/>
      </w:pPr>
      <w:r>
        <w:rPr>
          <w:b/>
          <w:bCs/>
        </w:rPr>
        <w:t xml:space="preserve">Cuidados na aplicação:</w:t>
      </w:r>
    </w:p>
    <w:p>
      <w:pPr>
        <w:pStyle w:val="Compact"/>
        <w:numPr>
          <w:ilvl w:val="0"/>
          <w:numId w:val="1012"/>
        </w:numPr>
      </w:pPr>
      <w:r>
        <w:rPr>
          <w:b/>
          <w:bCs/>
        </w:rPr>
        <w:t xml:space="preserve">Convergência</w:t>
      </w:r>
      <w:r>
        <w:t xml:space="preserve">: A convergência do método não é garantida caso o ponto inicial esteja muito distante da solução ou se as condições de regularidade do modelo não forem atendidas.</w:t>
      </w:r>
    </w:p>
    <w:p>
      <w:pPr>
        <w:pStyle w:val="Compact"/>
        <w:numPr>
          <w:ilvl w:val="0"/>
          <w:numId w:val="1012"/>
        </w:numPr>
      </w:pPr>
      <w:r>
        <w:rPr>
          <w:b/>
          <w:bCs/>
        </w:rPr>
        <w:t xml:space="preserve">Cálculo da Hessiana</w:t>
      </w:r>
      <w:r>
        <w:t xml:space="preserve">: O cálculo da matriz Hessiana pode ser computacionalmente custoso, especialmente em distribuições com maior complexidade.</w:t>
      </w:r>
    </w:p>
    <w:p>
      <w:pPr>
        <w:pStyle w:val="FirstParagraph"/>
      </w:pPr>
      <w:r>
        <w:t xml:space="preserve">No caso da distribuição Weibull, a aplicação do método Newton-Raphson requer o cálculo das derivadas em relação aos parâmetros</w:t>
      </w:r>
      <w:r>
        <w:t xml:space="preserve"> </w:t>
      </w:r>
      <m:oMath>
        <m:r>
          <m:t>γ</m:t>
        </m:r>
      </m:oMath>
      <w:r>
        <w:t xml:space="preserve"> </w:t>
      </w:r>
      <w:r>
        <w:t xml:space="preserve">e</w:t>
      </w:r>
      <w:r>
        <w:t xml:space="preserve"> </w:t>
      </w:r>
      <m:oMath>
        <m:r>
          <m:t>α</m:t>
        </m:r>
      </m:oMath>
      <w:r>
        <w:t xml:space="preserve">, permitindo ajustar o modelo aos dados observados de tempos de sobrevivência de forma precisa e eficiente.</w:t>
      </w:r>
    </w:p>
    <w:p>
      <w:pPr>
        <w:pStyle w:val="BodyText"/>
      </w:pPr>
      <w:r>
        <w:t xml:space="preserve">O Método Iterativo de Newton-Raphson pode ser implementado de duas formas principais:</w:t>
      </w:r>
    </w:p>
    <w:p>
      <w:pPr>
        <w:pStyle w:val="Compact"/>
        <w:numPr>
          <w:ilvl w:val="0"/>
          <w:numId w:val="1013"/>
        </w:numPr>
      </w:pPr>
      <w:r>
        <w:rPr>
          <w:b/>
          <w:bCs/>
        </w:rPr>
        <w:t xml:space="preserve">Construção Algorítmica Manual:</w:t>
      </w:r>
      <w:r>
        <w:t xml:space="preserve"> </w:t>
      </w:r>
      <w:r>
        <w:t xml:space="preserve">Consiste na definição e cálculo explícito das funções necessárias, como a função de verossimilhança, o gradiente e a Hessiana.</w:t>
      </w:r>
    </w:p>
    <w:p>
      <w:pPr>
        <w:pStyle w:val="Compact"/>
        <w:numPr>
          <w:ilvl w:val="0"/>
          <w:numId w:val="1013"/>
        </w:numPr>
      </w:pPr>
      <w:r>
        <w:rPr>
          <w:b/>
          <w:bCs/>
        </w:rPr>
        <w:t xml:space="preserve">Uso da Função</w:t>
      </w:r>
      <w:r>
        <w:rPr>
          <w:b/>
          <w:bCs/>
        </w:rPr>
        <w:t xml:space="preserve"> </w:t>
      </w:r>
      <w:r>
        <w:rPr>
          <w:rStyle w:val="VerbatimChar"/>
          <w:b/>
          <w:bCs/>
        </w:rPr>
        <w:t xml:space="preserve">optim</w:t>
      </w:r>
      <w:r>
        <w:rPr>
          <w:b/>
          <w:bCs/>
        </w:rPr>
        <w:t xml:space="preserve"> </w:t>
      </w:r>
      <w:r>
        <w:rPr>
          <w:b/>
          <w:bCs/>
        </w:rPr>
        <w:t xml:space="preserve">no R:</w:t>
      </w:r>
      <w:r>
        <w:t xml:space="preserve"> </w:t>
      </w:r>
      <w:r>
        <w:t xml:space="preserve">Esta função automatiza o processo de otimização e oferece uma implementação flexível e eficiente.</w:t>
      </w:r>
    </w:p>
    <w:p>
      <w:pPr>
        <w:pStyle w:val="FirstParagraph"/>
      </w:pPr>
      <w:r>
        <w:t xml:space="preserve">Para um melhor entendimento do Método Iterativo de Newton-Raphson veja o Apêndice (D)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p>
      <w:pPr>
        <w:pStyle w:val="BodyText"/>
      </w:pPr>
      <w:r>
        <w:t xml:space="preserve">A seguir, será apresentada a construção do algoritmo passo a passo. Começa-se definindo a função de verossimilhança para a distribuição Weibull, que pode ser obtida a partir da</w:t>
      </w:r>
      <w:r>
        <w:t xml:space="preserve"> </w:t>
      </w:r>
      <w:hyperlink w:anchor="eq-verossilGeneric">
        <w:r>
          <w:rPr>
            <w:rStyle w:val="Hyperlink"/>
          </w:rPr>
          <w:t xml:space="preserve">Equação 3.11</w:t>
        </w:r>
      </w:hyperlink>
      <w:r>
        <w:t xml:space="preserve"> </w:t>
      </w:r>
      <w:r>
        <w:t xml:space="preserve">substituindo a função densidade e a função de sobrevivência específicas da distribuição Weibull.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den>
          </m:f>
          <m:r>
            <m:rPr>
              <m:sty m:val="p"/>
            </m:rPr>
            <m:t>=</m:t>
          </m:r>
          <m:f>
            <m:fPr>
              <m:type m:val="bar"/>
            </m:fPr>
            <m:num>
              <m:r>
                <m:t>1</m:t>
              </m:r>
            </m:num>
            <m:den>
              <m:r>
                <m:t>γ</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rPr>
              <m:sty m:val="p"/>
            </m:rPr>
            <m:t>ln</m:t>
          </m:r>
          <m:d>
            <m:dPr>
              <m:begChr m:val="["/>
              <m:endChr m:val="]"/>
              <m:sepChr m:val=""/>
              <m:grow/>
            </m:dPr>
            <m:e>
              <m:r>
                <m:t>α</m:t>
              </m:r>
            </m:e>
          </m:d>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d>
            <m:dPr>
              <m:begChr m:val="["/>
              <m:endChr m:val="]"/>
              <m:sepChr m:val=""/>
              <m:grow/>
            </m:dPr>
            <m:e>
              <m:sSub>
                <m:e>
                  <m:r>
                    <m:t>t</m:t>
                  </m:r>
                </m:e>
                <m:sub>
                  <m:r>
                    <m:t>i</m:t>
                  </m:r>
                </m:sub>
              </m:sSub>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d>
            <m:dPr>
              <m:begChr m:val="["/>
              <m:endChr m:val="]"/>
              <m:sepChr m:val=""/>
              <m:grow/>
            </m:dPr>
            <m:e>
              <m:sSup>
                <m:e>
                  <m:r>
                    <m:t>α</m:t>
                  </m:r>
                </m:e>
                <m:sup>
                  <m:r>
                    <m:rPr>
                      <m:sty m:val="p"/>
                    </m:rPr>
                    <m:t>−</m:t>
                  </m:r>
                  <m:r>
                    <m:t>1</m:t>
                  </m:r>
                </m:sup>
              </m:sSup>
              <m:sSub>
                <m:e>
                  <m:r>
                    <m:t>t</m:t>
                  </m:r>
                </m:e>
                <m:sub>
                  <m:r>
                    <m:t>i</m:t>
                  </m:r>
                </m:sub>
              </m:sSub>
            </m:e>
          </m:d>
        </m:oMath>
      </m:oMathPara>
    </w:p>
    <w:p>
      <w:pPr>
        <w:pStyle w:val="FirstParagraph"/>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den>
          </m:f>
          <m:r>
            <m:rPr>
              <m:sty m:val="p"/>
            </m:rPr>
            <m:t>=</m:t>
          </m:r>
          <m:r>
            <m:rPr>
              <m:sty m:val="p"/>
            </m:rPr>
            <m:t>−</m:t>
          </m:r>
          <m:f>
            <m:fPr>
              <m:type m:val="bar"/>
            </m:fPr>
            <m:num>
              <m:r>
                <m:t>γ</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γ</m:t>
                  </m:r>
                </m:e>
                <m:sup>
                  <m:r>
                    <m:t>2</m:t>
                  </m:r>
                </m:sup>
              </m:sSup>
            </m:den>
          </m:f>
          <m:r>
            <m:rPr>
              <m:sty m:val="p"/>
            </m:rPr>
            <m:t>=</m:t>
          </m:r>
          <m:r>
            <m:rPr>
              <m:sty m:val="p"/>
            </m:rPr>
            <m:t>−</m:t>
          </m:r>
          <m:f>
            <m:fPr>
              <m:type m:val="bar"/>
            </m:fPr>
            <m:num>
              <m:r>
                <m:t>1</m:t>
              </m:r>
            </m:num>
            <m:den>
              <m:sSup>
                <m:e>
                  <m:r>
                    <m:t>γ</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d>
                    <m:dPr>
                      <m:begChr m:val="["/>
                      <m:endChr m:val="]"/>
                      <m:sepChr m:val=""/>
                      <m:grow/>
                    </m:dPr>
                    <m:e>
                      <m:sSup>
                        <m:e>
                          <m:r>
                            <m:t>α</m:t>
                          </m:r>
                        </m:e>
                        <m:sup>
                          <m:r>
                            <m:rPr>
                              <m:sty m:val="p"/>
                            </m:rPr>
                            <m:t>−</m:t>
                          </m:r>
                          <m:r>
                            <m:t>1</m:t>
                          </m:r>
                        </m:sup>
                      </m:sSup>
                      <m:sSub>
                        <m:e>
                          <m:r>
                            <m:t>t</m:t>
                          </m:r>
                        </m:e>
                        <m:sub>
                          <m:r>
                            <m:t>i</m:t>
                          </m:r>
                        </m:sub>
                      </m:sSub>
                    </m:e>
                  </m:d>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α</m:t>
                  </m:r>
                </m:e>
                <m:sup>
                  <m:r>
                    <m:t>2</m:t>
                  </m:r>
                </m:sup>
              </m:sSup>
            </m:den>
          </m:f>
          <m:r>
            <m:rPr>
              <m:sty m:val="p"/>
            </m:rPr>
            <m:t>=</m:t>
          </m:r>
          <m:r>
            <m:rPr>
              <m:sty m:val="p"/>
            </m:rPr>
            <m:t>−</m:t>
          </m:r>
          <m:f>
            <m:fPr>
              <m:type m:val="bar"/>
            </m:fPr>
            <m:num>
              <m:r>
                <m:t>γ</m:t>
              </m:r>
            </m:num>
            <m:den>
              <m:sSup>
                <m:e>
                  <m:r>
                    <m:t>α</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r>
                <m:rPr>
                  <m:sty m:val="p"/>
                </m:rPr>
                <m:t>∂</m:t>
              </m:r>
              <m:r>
                <m:t>α</m:t>
              </m:r>
            </m:den>
          </m:f>
          <m:r>
            <m:rPr>
              <m:sty m:val="p"/>
            </m:rPr>
            <m:t>=</m:t>
          </m:r>
          <m:r>
            <m:rPr>
              <m:sty m:val="p"/>
            </m:rPr>
            <m:t>−</m:t>
          </m:r>
          <m:f>
            <m:fPr>
              <m:type m:val="bar"/>
            </m:fPr>
            <m:num>
              <m:r>
                <m:t>1</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SourceCode"/>
      </w:pPr>
      <w:r>
        <w:rPr>
          <w:rStyle w:val="CommentTok"/>
        </w:rPr>
        <w:t xml:space="preserve"># ----------------------</w:t>
      </w:r>
      <w:r>
        <w:br/>
      </w:r>
      <w:r>
        <w:rPr>
          <w:rStyle w:val="CommentTok"/>
        </w:rPr>
        <w:t xml:space="preserve"># Configurações Iniciais</w:t>
      </w:r>
      <w:r>
        <w:br/>
      </w:r>
      <w:r>
        <w:rPr>
          <w:rStyle w:val="CommentTok"/>
        </w:rPr>
        <w:t xml:space="preserve"># ----------------------</w:t>
      </w:r>
      <w:r>
        <w:br/>
      </w:r>
      <w:r>
        <w:br/>
      </w:r>
      <w:r>
        <w:rPr>
          <w:rStyle w:val="CommentTok"/>
        </w:rPr>
        <w:t xml:space="preserve"># Ativação de Pacotes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Distribuição Weibull</w:t>
      </w:r>
      <w:r>
        <w:br/>
      </w:r>
      <w:r>
        <w:rPr>
          <w:rStyle w:val="CommentTok"/>
        </w:rPr>
        <w:t xml:space="preserve"># --------------------</w:t>
      </w:r>
      <w:r>
        <w:br/>
      </w:r>
      <w:r>
        <w:rPr>
          <w:rStyle w:val="CommentTok"/>
        </w:rPr>
        <w:t xml:space="preserve"># -------------------</w:t>
      </w:r>
      <w:r>
        <w:br/>
      </w:r>
      <w:r>
        <w:rPr>
          <w:rStyle w:val="CommentTok"/>
        </w:rPr>
        <w:t xml:space="preserve"># Simulação dos Dados</w:t>
      </w:r>
      <w:r>
        <w:br/>
      </w:r>
      <w:r>
        <w:rPr>
          <w:rStyle w:val="CommentTok"/>
        </w:rPr>
        <w:t xml:space="preserve"># -------------------</w:t>
      </w:r>
      <w:r>
        <w:br/>
      </w:r>
      <w:r>
        <w:br/>
      </w:r>
      <w:r>
        <w:rPr>
          <w:rStyle w:val="NormalTok"/>
        </w:rPr>
        <w:t xml:space="preserve">w_shape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de Forma</w:t>
      </w:r>
      <w:r>
        <w:br/>
      </w:r>
      <w:r>
        <w:rPr>
          <w:rStyle w:val="NormalTok"/>
        </w:rPr>
        <w:t xml:space="preserve">w_scale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Escala</w:t>
      </w:r>
      <w:r>
        <w:br/>
      </w:r>
      <w:r>
        <w:br/>
      </w:r>
      <w:r>
        <w:rPr>
          <w:rStyle w:val="CommentTok"/>
        </w:rPr>
        <w:t xml:space="preserve"># Simulação</w:t>
      </w:r>
      <w:r>
        <w:br/>
      </w:r>
      <w:r>
        <w:rPr>
          <w:rStyle w:val="NormalTok"/>
        </w:rPr>
        <w:t xml:space="preserve">w_dados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w_shape, </w:t>
      </w:r>
      <w:r>
        <w:rPr>
          <w:rStyle w:val="AttributeTok"/>
        </w:rPr>
        <w:t xml:space="preserve">scale =</w:t>
      </w:r>
      <w:r>
        <w:rPr>
          <w:rStyle w:val="NormalTok"/>
        </w:rPr>
        <w:t xml:space="preserve"> w_scale)</w:t>
      </w:r>
    </w:p>
    <w:p>
      <w:pPr>
        <w:pStyle w:val="FirstParagraph"/>
      </w:pPr>
      <w:r>
        <w:t xml:space="preserve">Com todas as derivadas definidas, é possível definirmos algumas funções e variáveis que iremos precisar para utilizar o algoritmo de Newton-Raphson. O bloco de código abaixo contém o algoritmo de Newton-Raphson.</w:t>
      </w:r>
    </w:p>
    <w:p>
      <w:pPr>
        <w:pStyle w:val="SourceCode"/>
      </w:pPr>
      <w:r>
        <w:rPr>
          <w:rStyle w:val="CommentTok"/>
        </w:rPr>
        <w:t xml:space="preserve"># -----------------</w:t>
      </w:r>
      <w:r>
        <w:br/>
      </w:r>
      <w:r>
        <w:rPr>
          <w:rStyle w:val="CommentTok"/>
        </w:rPr>
        <w:t xml:space="preserve"># [1] Algoritmo</w:t>
      </w:r>
      <w:r>
        <w:br/>
      </w:r>
      <w:r>
        <w:rPr>
          <w:rStyle w:val="CommentTok"/>
        </w:rPr>
        <w:t xml:space="preserve"># -----------------</w:t>
      </w:r>
      <w:r>
        <w:br/>
      </w:r>
      <w:r>
        <w:rPr>
          <w:rStyle w:val="CommentTok"/>
        </w:rPr>
        <w:t xml:space="preserve"># ---------------------</w:t>
      </w:r>
      <w:r>
        <w:br/>
      </w:r>
      <w:r>
        <w:rPr>
          <w:rStyle w:val="CommentTok"/>
        </w:rPr>
        <w:t xml:space="preserve"># [1.1] Vetor Gradiente</w:t>
      </w:r>
      <w:r>
        <w:br/>
      </w:r>
      <w:r>
        <w:rPr>
          <w:rStyle w:val="CommentTok"/>
        </w:rPr>
        <w:t xml:space="preserve"># ---------------------</w:t>
      </w:r>
      <w:r>
        <w:br/>
      </w:r>
      <w:r>
        <w:rPr>
          <w:rStyle w:val="NormalTok"/>
        </w:rPr>
        <w:t xml:space="preserve">GRADIEN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Parciais</w:t>
      </w:r>
      <w:r>
        <w:br/>
      </w:r>
      <w:r>
        <w:rPr>
          <w:rStyle w:val="NormalTok"/>
        </w:rPr>
        <w:t xml:space="preserve">  DerivGamma </w:t>
      </w:r>
      <w:r>
        <w:rPr>
          <w:rStyle w:val="OtherTok"/>
        </w:rPr>
        <w:t xml:space="preserve">&lt;-</w:t>
      </w:r>
      <w:r>
        <w:rPr>
          <w:rStyle w:val="NormalTok"/>
        </w:rPr>
        <w:t xml:space="preserve"> n</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br/>
      </w:r>
      <w:r>
        <w:rPr>
          <w:rStyle w:val="NormalTok"/>
        </w:rPr>
        <w:t xml:space="preserve">  DerivAlpha </w:t>
      </w:r>
      <w:r>
        <w:rPr>
          <w:rStyle w:val="OtherTok"/>
        </w:rPr>
        <w:t xml:space="preserve">&lt;-</w:t>
      </w:r>
      <w:r>
        <w:rPr>
          <w:rStyle w:val="NormalTok"/>
        </w:rPr>
        <w:t xml:space="preserve"> </w:t>
      </w:r>
      <w:r>
        <w:rPr>
          <w:rStyle w:val="SpecialCharTok"/>
        </w:rPr>
        <w:t xml:space="preserve">-</w:t>
      </w:r>
      <w:r>
        <w:rPr>
          <w:rStyle w:val="NormalTok"/>
        </w:rPr>
        <w:t xml:space="preserve">(gamma</w:t>
      </w:r>
      <w:r>
        <w:rPr>
          <w:rStyle w:val="SpecialCharTok"/>
        </w:rPr>
        <w:t xml:space="preserve">/</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Vetor Gradiente</w:t>
      </w:r>
      <w:r>
        <w:br/>
      </w:r>
      <w:r>
        <w:rPr>
          <w:rStyle w:val="NormalTok"/>
        </w:rPr>
        <w:t xml:space="preserve">  gradient </w:t>
      </w:r>
      <w:r>
        <w:rPr>
          <w:rStyle w:val="OtherTok"/>
        </w:rPr>
        <w:t xml:space="preserve">&lt;-</w:t>
      </w:r>
      <w:r>
        <w:rPr>
          <w:rStyle w:val="NormalTok"/>
        </w:rPr>
        <w:t xml:space="preserve"> </w:t>
      </w:r>
      <w:r>
        <w:rPr>
          <w:rStyle w:val="FunctionTok"/>
        </w:rPr>
        <w:t xml:space="preserve">c</w:t>
      </w:r>
      <w:r>
        <w:rPr>
          <w:rStyle w:val="NormalTok"/>
        </w:rPr>
        <w:t xml:space="preserve">(DerivGamma, DerivAlpha)</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(gradient)</w:t>
      </w:r>
      <w:r>
        <w:br/>
      </w:r>
      <w:r>
        <w:rPr>
          <w:rStyle w:val="NormalTok"/>
        </w:rPr>
        <w:t xml:space="preserve">}</w:t>
      </w:r>
      <w:r>
        <w:br/>
      </w:r>
      <w:r>
        <w:br/>
      </w:r>
      <w:r>
        <w:rPr>
          <w:rStyle w:val="CommentTok"/>
        </w:rPr>
        <w:t xml:space="preserve"># ---------------------</w:t>
      </w:r>
      <w:r>
        <w:br/>
      </w:r>
      <w:r>
        <w:rPr>
          <w:rStyle w:val="CommentTok"/>
        </w:rPr>
        <w:t xml:space="preserve"># [1.2] Matriz Hessiana</w:t>
      </w:r>
      <w:r>
        <w:br/>
      </w:r>
      <w:r>
        <w:rPr>
          <w:rStyle w:val="CommentTok"/>
        </w:rPr>
        <w:t xml:space="preserve"># ---------------------</w:t>
      </w:r>
      <w:r>
        <w:br/>
      </w:r>
      <w:r>
        <w:rPr>
          <w:rStyle w:val="NormalTok"/>
        </w:rPr>
        <w:t xml:space="preserve">HESSIAN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de 2ª ordem</w:t>
      </w:r>
      <w:r>
        <w:br/>
      </w:r>
      <w:r>
        <w:rPr>
          <w:rStyle w:val="NormalTok"/>
        </w:rPr>
        <w:t xml:space="preserve">  D2Gamma </w:t>
      </w:r>
      <w:r>
        <w:rPr>
          <w:rStyle w:val="OtherTok"/>
        </w:rPr>
        <w:t xml:space="preserve">&lt;-</w:t>
      </w:r>
      <w:r>
        <w:rPr>
          <w:rStyle w:val="NormalTok"/>
        </w:rPr>
        <w:t xml:space="preserve"> </w:t>
      </w:r>
      <w:r>
        <w:rPr>
          <w:rStyle w:val="SpecialCharTok"/>
        </w:rPr>
        <w:t xml:space="preserve">-</w:t>
      </w:r>
      <w:r>
        <w:rPr>
          <w:rStyle w:val="NormalTok"/>
        </w:rPr>
        <w:t xml:space="preserve"> n</w:t>
      </w:r>
      <w:r>
        <w:rPr>
          <w:rStyle w:val="SpecialCharTok"/>
        </w:rPr>
        <w:t xml:space="preserve">/</w:t>
      </w:r>
      <w:r>
        <w:rPr>
          <w:rStyle w:val="NormalTok"/>
        </w:rPr>
        <w:t xml:space="preserve">gamma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Normal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NormalTok"/>
        </w:rPr>
        <w:t xml:space="preserve">  D2Alpha </w:t>
      </w:r>
      <w:r>
        <w:rPr>
          <w:rStyle w:val="OtherTok"/>
        </w:rPr>
        <w:t xml:space="preserve">&lt;-</w:t>
      </w:r>
      <w:r>
        <w:rPr>
          <w:rStyle w:val="NormalTok"/>
        </w:rPr>
        <w:t xml:space="preserve">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D2 </w:t>
      </w:r>
      <w:r>
        <w:rPr>
          <w:rStyle w:val="OtherTok"/>
        </w:rPr>
        <w:t xml:space="preserve">&lt;-</w:t>
      </w:r>
      <w:r>
        <w:rPr>
          <w:rStyle w:val="NormalTok"/>
        </w:rPr>
        <w:t xml:space="preserve"> </w:t>
      </w:r>
      <w:r>
        <w:rPr>
          <w:rStyle w:val="SpecialCharTok"/>
        </w:rPr>
        <w:t xml:space="preserve">-</w:t>
      </w:r>
      <w:r>
        <w:rPr>
          <w:rStyle w:val="NormalTok"/>
        </w:rPr>
        <w:t xml:space="preserve">n</w:t>
      </w:r>
      <w:r>
        <w:rPr>
          <w:rStyle w:val="SpecialCharTok"/>
        </w:rPr>
        <w:t xml:space="preserve">*</w:t>
      </w:r>
      <w:r>
        <w:rPr>
          <w:rStyle w:val="NormalTok"/>
        </w:rPr>
        <w:t xml:space="preserve">alpha </w:t>
      </w:r>
      <w:r>
        <w:rPr>
          <w:rStyle w:val="SpecialCharTok"/>
        </w:rPr>
        <w:t xml:space="preserve">+</w:t>
      </w:r>
      <w:r>
        <w:rPr>
          <w:rStyle w:val="NormalTok"/>
        </w:rPr>
        <w:t xml:space="preserve"> (alpha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Matriz Hessiana</w:t>
      </w:r>
      <w:r>
        <w:br/>
      </w:r>
      <w:r>
        <w:rPr>
          <w:rStyle w:val="NormalTok"/>
        </w:rPr>
        <w:t xml:space="preserve">  H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(D2Gamma, D2, D2, D2Alpha),</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(H)</w:t>
      </w:r>
      <w:r>
        <w:br/>
      </w:r>
      <w:r>
        <w:rPr>
          <w:rStyle w:val="NormalTok"/>
        </w:rPr>
        <w:t xml:space="preserve">}</w:t>
      </w:r>
      <w:r>
        <w:br/>
      </w:r>
      <w:r>
        <w:br/>
      </w:r>
      <w:r>
        <w:rPr>
          <w:rStyle w:val="CommentTok"/>
        </w:rPr>
        <w:t xml:space="preserve"># ----------------------------------------</w:t>
      </w:r>
      <w:r>
        <w:br/>
      </w:r>
      <w:r>
        <w:rPr>
          <w:rStyle w:val="CommentTok"/>
        </w:rPr>
        <w:t xml:space="preserve"># [1.3] Método Iterativo de Newton-Raphson</w:t>
      </w:r>
      <w:r>
        <w:br/>
      </w:r>
      <w:r>
        <w:rPr>
          <w:rStyle w:val="CommentTok"/>
        </w:rPr>
        <w:t xml:space="preserve"># ----------------------------------------</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diff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Diferença entre o passo atual e o passo anterior</w:t>
      </w:r>
      <w:r>
        <w:br/>
      </w:r>
      <w:r>
        <w:rPr>
          <w:rStyle w:val="NormalTok"/>
        </w:rPr>
        <w:t xml:space="preserve">error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8</w:t>
      </w:r>
      <w:r>
        <w:rPr>
          <w:rStyle w:val="NormalTok"/>
        </w:rPr>
        <w:t xml:space="preserve">)      </w:t>
      </w:r>
      <w:r>
        <w:rPr>
          <w:rStyle w:val="CommentTok"/>
        </w:rPr>
        <w:t xml:space="preserve"># Erro tolerável</w:t>
      </w:r>
      <w:r>
        <w:br/>
      </w:r>
      <w:r>
        <w:rPr>
          <w:rStyle w:val="NormalTok"/>
        </w:rPr>
        <w:t xml:space="preserve">id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Contador da iteração</w:t>
      </w:r>
      <w:r>
        <w:br/>
      </w:r>
      <w:r>
        <w:br/>
      </w:r>
      <w:r>
        <w:rPr>
          <w:rStyle w:val="CommentTok"/>
        </w:rPr>
        <w:t xml:space="preserve"># Iteração</w:t>
      </w:r>
      <w:r>
        <w:br/>
      </w:r>
      <w:r>
        <w:rPr>
          <w:rStyle w:val="ControlFlowTok"/>
        </w:rPr>
        <w:t xml:space="preserve">while</w:t>
      </w:r>
      <w:r>
        <w:rPr>
          <w:rStyle w:val="NormalTok"/>
        </w:rPr>
        <w:t xml:space="preserve"> (diff </w:t>
      </w:r>
      <w:r>
        <w:rPr>
          <w:rStyle w:val="SpecialCharTok"/>
        </w:rPr>
        <w:t xml:space="preserve">&gt;</w:t>
      </w:r>
      <w:r>
        <w:rPr>
          <w:rStyle w:val="NormalTok"/>
        </w:rPr>
        <w:t xml:space="preserve"> error) {</w:t>
      </w:r>
      <w:r>
        <w:br/>
      </w:r>
      <w:r>
        <w:rPr>
          <w:rStyle w:val="NormalTok"/>
        </w:rPr>
        <w:t xml:space="preserve">  </w:t>
      </w:r>
      <w:r>
        <w:rPr>
          <w:rStyle w:val="CommentTok"/>
        </w:rPr>
        <w:t xml:space="preserve"># Vetor Gradiente e Matriz Hessiana</w:t>
      </w:r>
      <w:r>
        <w:br/>
      </w:r>
      <w:r>
        <w:rPr>
          <w:rStyle w:val="NormalTok"/>
        </w:rPr>
        <w:t xml:space="preserve">  U </w:t>
      </w:r>
      <w:r>
        <w:rPr>
          <w:rStyle w:val="OtherTok"/>
        </w:rPr>
        <w:t xml:space="preserve">&lt;-</w:t>
      </w:r>
      <w:r>
        <w:rPr>
          <w:rStyle w:val="NormalTok"/>
        </w:rPr>
        <w:t xml:space="preserve"> </w:t>
      </w:r>
      <w:r>
        <w:rPr>
          <w:rStyle w:val="FunctionTok"/>
        </w:rPr>
        <w:t xml:space="preserve">GRADIEN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Vetor Escore</w:t>
      </w:r>
      <w:r>
        <w:br/>
      </w:r>
      <w:r>
        <w:rPr>
          <w:rStyle w:val="NormalTok"/>
        </w:rPr>
        <w:t xml:space="preserve">  H </w:t>
      </w:r>
      <w:r>
        <w:rPr>
          <w:rStyle w:val="OtherTok"/>
        </w:rPr>
        <w:t xml:space="preserve">&lt;-</w:t>
      </w:r>
      <w:r>
        <w:rPr>
          <w:rStyle w:val="NormalTok"/>
        </w:rPr>
        <w:t xml:space="preserve"> </w:t>
      </w:r>
      <w:r>
        <w:rPr>
          <w:rStyle w:val="FunctionTok"/>
        </w:rPr>
        <w:t xml:space="preserve">HESSIAN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Matriz Hessiana</w:t>
      </w:r>
      <w:r>
        <w:br/>
      </w:r>
      <w:r>
        <w:rPr>
          <w:rStyle w:val="NormalTok"/>
        </w:rPr>
        <w:t xml:space="preserve">  </w:t>
      </w:r>
      <w:r>
        <w:br/>
      </w:r>
      <w:r>
        <w:rPr>
          <w:rStyle w:val="NormalTok"/>
        </w:rPr>
        <w:t xml:space="preserve">  </w:t>
      </w:r>
      <w:r>
        <w:rPr>
          <w:rStyle w:val="CommentTok"/>
        </w:rPr>
        <w:t xml:space="preserve"># Solução do sistema linear H %*% solution = U</w:t>
      </w:r>
      <w:r>
        <w:br/>
      </w:r>
      <w:r>
        <w:rPr>
          <w:rStyle w:val="NormalTok"/>
        </w:rPr>
        <w:t xml:space="preserve">  solution </w:t>
      </w:r>
      <w:r>
        <w:rPr>
          <w:rStyle w:val="OtherTok"/>
        </w:rPr>
        <w:t xml:space="preserve">&lt;-</w:t>
      </w:r>
      <w:r>
        <w:rPr>
          <w:rStyle w:val="NormalTok"/>
        </w:rPr>
        <w:t xml:space="preserve"> </w:t>
      </w:r>
      <w:r>
        <w:rPr>
          <w:rStyle w:val="FunctionTok"/>
        </w:rPr>
        <w:t xml:space="preserve">solve</w:t>
      </w:r>
      <w:r>
        <w:rPr>
          <w:rStyle w:val="NormalTok"/>
        </w:rPr>
        <w:t xml:space="preserve">(H, U)</w:t>
      </w:r>
      <w:r>
        <w:br/>
      </w:r>
      <w:r>
        <w:rPr>
          <w:rStyle w:val="NormalTok"/>
        </w:rPr>
        <w:t xml:space="preserve">  </w:t>
      </w:r>
      <w:r>
        <w:br/>
      </w:r>
      <w:r>
        <w:rPr>
          <w:rStyle w:val="NormalTok"/>
        </w:rPr>
        <w:t xml:space="preserve">  </w:t>
      </w:r>
      <w:r>
        <w:rPr>
          <w:rStyle w:val="CommentTok"/>
        </w:rPr>
        <w:t xml:space="preserve"># Atualização do Algoritmo</w:t>
      </w:r>
      <w:r>
        <w:br/>
      </w:r>
      <w:r>
        <w:rPr>
          <w:rStyle w:val="NormalTok"/>
        </w:rPr>
        <w:t xml:space="preserve">  theta1 </w:t>
      </w:r>
      <w:r>
        <w:rPr>
          <w:rStyle w:val="OtherTok"/>
        </w:rPr>
        <w:t xml:space="preserve">&lt;-</w:t>
      </w:r>
      <w:r>
        <w:rPr>
          <w:rStyle w:val="NormalTok"/>
        </w:rPr>
        <w:t xml:space="preserve"> theta0 </w:t>
      </w:r>
      <w:r>
        <w:rPr>
          <w:rStyle w:val="SpecialCharTok"/>
        </w:rPr>
        <w:t xml:space="preserve">-</w:t>
      </w:r>
      <w:r>
        <w:rPr>
          <w:rStyle w:val="NormalTok"/>
        </w:rPr>
        <w:t xml:space="preserve"> solution</w:t>
      </w:r>
      <w:r>
        <w:br/>
      </w:r>
      <w:r>
        <w:rPr>
          <w:rStyle w:val="NormalTok"/>
        </w:rPr>
        <w:t xml:space="preserve">  </w:t>
      </w:r>
      <w:r>
        <w:br/>
      </w:r>
      <w:r>
        <w:rPr>
          <w:rStyle w:val="NormalTok"/>
        </w:rPr>
        <w:t xml:space="preserve">  </w:t>
      </w:r>
      <w:r>
        <w:rPr>
          <w:rStyle w:val="CommentTok"/>
        </w:rPr>
        <w:t xml:space="preserve"># Diferença entre os parâmetros</w:t>
      </w:r>
      <w:r>
        <w:br/>
      </w:r>
      <w:r>
        <w:rPr>
          <w:rStyle w:val="NormalTok"/>
        </w:rPr>
        <w:t xml:space="preserve">  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(theta1 </w:t>
      </w:r>
      <w:r>
        <w:rPr>
          <w:rStyle w:val="SpecialCharTok"/>
        </w:rPr>
        <w:t xml:space="preserve">-</w:t>
      </w:r>
      <w:r>
        <w:rPr>
          <w:rStyle w:val="NormalTok"/>
        </w:rPr>
        <w:t xml:space="preserve"> theta0))</w:t>
      </w:r>
      <w:r>
        <w:br/>
      </w:r>
      <w:r>
        <w:rPr>
          <w:rStyle w:val="NormalTok"/>
        </w:rPr>
        <w:t xml:space="preserve">  </w:t>
      </w:r>
      <w:r>
        <w:br/>
      </w:r>
      <w:r>
        <w:rPr>
          <w:rStyle w:val="NormalTok"/>
        </w:rPr>
        <w:t xml:space="preserve">  </w:t>
      </w:r>
      <w:r>
        <w:rPr>
          <w:rStyle w:val="CommentTok"/>
        </w:rPr>
        <w:t xml:space="preserve"># Imprimir resultados na tela</w:t>
      </w:r>
      <w:r>
        <w:br/>
      </w:r>
      <w:r>
        <w:rPr>
          <w:rStyle w:val="NormalTok"/>
        </w:rPr>
        <w:t xml:space="preserve">  </w:t>
      </w:r>
      <w:r>
        <w:rPr>
          <w:rStyle w:val="CommentTok"/>
        </w:rPr>
        <w:t xml:space="preserve">#cat("Iteração:", id, " -  Estimativa = (Forma:", theta1[1], ", Escala:", theta1[2], ") \n")</w:t>
      </w:r>
      <w:r>
        <w:br/>
      </w:r>
      <w:r>
        <w:rPr>
          <w:rStyle w:val="NormalTok"/>
        </w:rPr>
        <w:t xml:space="preserve">  </w:t>
      </w:r>
      <w:r>
        <w:br/>
      </w:r>
      <w:r>
        <w:rPr>
          <w:rStyle w:val="NormalTok"/>
        </w:rPr>
        <w:t xml:space="preserve">  </w:t>
      </w:r>
      <w:r>
        <w:rPr>
          <w:rStyle w:val="CommentTok"/>
        </w:rPr>
        <w:t xml:space="preserve"># Controle do Algoritmo</w:t>
      </w:r>
      <w:r>
        <w:br/>
      </w:r>
      <w:r>
        <w:rPr>
          <w:rStyle w:val="NormalTok"/>
        </w:rPr>
        <w:t xml:space="preserve">  theta0 </w:t>
      </w:r>
      <w:r>
        <w:rPr>
          <w:rStyle w:val="OtherTok"/>
        </w:rPr>
        <w:t xml:space="preserve">&lt;-</w:t>
      </w:r>
      <w:r>
        <w:rPr>
          <w:rStyle w:val="NormalTok"/>
        </w:rPr>
        <w:t xml:space="preserve"> theta1</w:t>
      </w:r>
      <w:r>
        <w:br/>
      </w:r>
      <w:r>
        <w:rPr>
          <w:rStyle w:val="NormalTok"/>
        </w:rPr>
        <w:t xml:space="preserve">  id </w:t>
      </w:r>
      <w:r>
        <w:rPr>
          <w:rStyle w:val="OtherTok"/>
        </w:rPr>
        <w:t xml:space="preserve">&lt;-</w:t>
      </w:r>
      <w:r>
        <w:rPr>
          <w:rStyle w:val="NormalTok"/>
        </w:rPr>
        <w:t xml:space="preserve"> id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"Número de Iterações Necessárias:"</w:t>
      </w:r>
      <w:r>
        <w:rPr>
          <w:rStyle w:val="NormalTok"/>
        </w:rPr>
        <w:t xml:space="preserve">, 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Número de Iterações Necessárias: 47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1.963831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1.507812 </w:t>
      </w:r>
    </w:p>
    <w:p>
      <w:pPr>
        <w:pStyle w:val="FirstParagraph"/>
      </w:pPr>
      <w:r>
        <w:t xml:space="preserve">O bloco abaixo mostra o uso da função</w:t>
      </w:r>
      <w:r>
        <w:t xml:space="preserve"> </w:t>
      </w:r>
      <w:r>
        <w:rPr>
          <w:rStyle w:val="VerbatimChar"/>
        </w:rPr>
        <w:t xml:space="preserve">optim</w:t>
      </w:r>
      <w:r>
        <w:t xml:space="preserve"> </w:t>
      </w:r>
      <w:r>
        <w:t xml:space="preserve">para otimização.</w:t>
      </w:r>
    </w:p>
    <w:p>
      <w:pPr>
        <w:pStyle w:val="SourceCode"/>
      </w:pPr>
      <w:r>
        <w:rPr>
          <w:rStyle w:val="CommentTok"/>
        </w:rPr>
        <w:t xml:space="preserve"># ------------------</w:t>
      </w:r>
      <w:r>
        <w:br/>
      </w:r>
      <w:r>
        <w:rPr>
          <w:rStyle w:val="CommentTok"/>
        </w:rPr>
        <w:t xml:space="preserve"># [2] Função `optim`</w:t>
      </w:r>
      <w:r>
        <w:br/>
      </w:r>
      <w:r>
        <w:rPr>
          <w:rStyle w:val="CommentTok"/>
        </w:rPr>
        <w:t xml:space="preserve"># ------------------</w:t>
      </w:r>
      <w:r>
        <w:br/>
      </w:r>
      <w:r>
        <w:rPr>
          <w:rStyle w:val="CommentTok"/>
        </w:rPr>
        <w:t xml:space="preserve"># ---------------------------</w:t>
      </w:r>
      <w:r>
        <w:br/>
      </w:r>
      <w:r>
        <w:rPr>
          <w:rStyle w:val="CommentTok"/>
        </w:rPr>
        <w:t xml:space="preserve"># [2] Função a ser maximizada</w:t>
      </w:r>
      <w:r>
        <w:br/>
      </w:r>
      <w:r>
        <w:rPr>
          <w:rStyle w:val="CommentTok"/>
        </w:rPr>
        <w:t xml:space="preserve"># ---------------------------</w:t>
      </w:r>
      <w:r>
        <w:br/>
      </w:r>
      <w:r>
        <w:rPr>
          <w:rStyle w:val="CommentTok"/>
        </w:rPr>
        <w:t xml:space="preserve"># Definindo Função Log-verossimilhança</w:t>
      </w:r>
      <w:r>
        <w:br/>
      </w:r>
      <w:r>
        <w:rPr>
          <w:rStyle w:val="NormalTok"/>
        </w:rPr>
        <w:t xml:space="preserve">logVerossimil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flv </w:t>
      </w:r>
      <w:r>
        <w:rPr>
          <w:rStyle w:val="OtherTok"/>
        </w:rPr>
        <w:t xml:space="preserve">&lt;-</w:t>
      </w:r>
      <w:r>
        <w:rPr>
          <w:rStyle w:val="NormalTok"/>
        </w:rPr>
        <w:t xml:space="preserve"> </w:t>
      </w:r>
      <w:r>
        <w:rPr>
          <w:rStyle w:val="FunctionTok"/>
        </w:rPr>
        <w:t xml:space="preserve">log</w:t>
      </w:r>
      <w:r>
        <w:rPr>
          <w:rStyle w:val="NormalTok"/>
        </w:rPr>
        <w:t xml:space="preserve">(gamma)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w:t>
      </w:r>
      <w:r>
        <w:br/>
      </w:r>
      <w:r>
        <w:rPr>
          <w:rStyle w:val="CommentTok"/>
        </w:rPr>
        <w:t xml:space="preserve"># [2.2] Método Iterativo de Newton-Raphson</w:t>
      </w:r>
      <w:r>
        <w:br/>
      </w:r>
      <w:r>
        <w:rPr>
          <w:rStyle w:val="CommentTok"/>
        </w:rPr>
        <w:t xml:space="preserve"># ----------------------------------------</w:t>
      </w:r>
      <w:r>
        <w:br/>
      </w:r>
      <w:r>
        <w:rPr>
          <w:rStyle w:val="CommentTok"/>
        </w:rPr>
        <w:t xml:space="preserve"># Vetor de Parâmetros: Chute inicial</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Obtendo as estimativas</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theta0,</w:t>
      </w:r>
      <w:r>
        <w:br/>
      </w:r>
      <w:r>
        <w:rPr>
          <w:rStyle w:val="NormalTok"/>
        </w:rPr>
        <w:t xml:space="preserve">  </w:t>
      </w:r>
      <w:r>
        <w:rPr>
          <w:rStyle w:val="AttributeTok"/>
        </w:rPr>
        <w:t xml:space="preserve">fn =</w:t>
      </w:r>
      <w:r>
        <w:rPr>
          <w:rStyle w:val="NormalTok"/>
        </w:rPr>
        <w:t xml:space="preserve"> logVerossimil,</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times =</w:t>
      </w:r>
      <w:r>
        <w:rPr>
          <w:rStyle w:val="NormalTok"/>
        </w:rPr>
        <w:t xml:space="preserve"> w_dados</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"O método convergiu?"</w:t>
      </w:r>
      <w:r>
        <w:rPr>
          <w:rStyle w:val="NormalTok"/>
        </w:rPr>
        <w:t xml:space="preserve">, estimate</w:t>
      </w:r>
      <w:r>
        <w:rPr>
          <w:rStyle w:val="SpecialCharTok"/>
        </w:rPr>
        <w:t xml:space="preserve">$</w:t>
      </w:r>
      <w:r>
        <w:rPr>
          <w:rStyle w:val="NormalTok"/>
        </w:rPr>
        <w:t xml:space="preserve">convergence</w:t>
      </w:r>
      <w:r>
        <w:rPr>
          <w:rStyle w:val="SpecialCharTok"/>
        </w:rPr>
        <w:t xml:space="preserve">==</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 método convergiu? TRUE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1.963839 </w:t>
      </w:r>
    </w:p>
    <w:p>
      <w:pPr>
        <w:pStyle w:val="SourceCode"/>
      </w:pPr>
      <w:r>
        <w:rPr>
          <w:rStyle w:val="FunctionTok"/>
        </w:rPr>
        <w:t xml:space="preserve">cat</w:t>
      </w:r>
      <w:r>
        <w:rPr>
          <w:rStyle w:val="NormalTok"/>
        </w:rPr>
        <w:t xml:space="preserve">(</w:t>
      </w:r>
      <w:r>
        <w:rPr>
          <w:rStyle w:val="StringTok"/>
        </w:rPr>
        <w:t xml:space="preserve">"Estimativa para o parâmetro de escala:"</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escala: 1.507813 </w:t>
      </w:r>
    </w:p>
    <w:p>
      <w:pPr>
        <w:pStyle w:val="FirstParagraph"/>
      </w:pPr>
      <w:r>
        <w:t xml:space="preserve">Assim como na distribuição exponencial, será feita uma comparação entre o real e estimado. 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CommentTok"/>
        </w:rPr>
        <w:t xml:space="preserve"># Função de Sobrevivência</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(w_dados),</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w_shape, w_scale),</w:t>
      </w:r>
      <w:r>
        <w:br/>
      </w:r>
      <w:r>
        <w:rPr>
          <w:rStyle w:val="NormalTok"/>
        </w:rPr>
        <w:t xml:space="preserve">  </w:t>
      </w:r>
      <w:r>
        <w:rPr>
          <w:rStyle w:val="AttributeTok"/>
        </w:rPr>
        <w:t xml:space="preserve">StEst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(dfWeibull, </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8"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0.0240</w:t>
                  </w:r>
                </w:p>
              </w:tc>
              <w:tc>
                <w:tcPr/>
                <w:p>
                  <w:pPr>
                    <w:pStyle w:val="Compact"/>
                    <w:jc w:val="center"/>
                    <w:jc w:val="center"/>
                  </w:pPr>
                  <w:r>
                    <w:t xml:space="preserve">0.9997</w:t>
                  </w:r>
                </w:p>
              </w:tc>
              <w:tc>
                <w:tcPr/>
                <w:p>
                  <w:pPr>
                    <w:pStyle w:val="Compact"/>
                    <w:jc w:val="center"/>
                    <w:jc w:val="center"/>
                  </w:pPr>
                  <w:r>
                    <w:t xml:space="preserve">0.9997</w:t>
                  </w:r>
                </w:p>
              </w:tc>
            </w:tr>
            <w:tr>
              <w:tc>
                <w:tcPr/>
                <w:p>
                  <w:pPr>
                    <w:pStyle w:val="Compact"/>
                    <w:jc w:val="center"/>
                    <w:jc w:val="center"/>
                  </w:pPr>
                  <w:r>
                    <w:t xml:space="preserve">0.0256</w:t>
                  </w:r>
                </w:p>
              </w:tc>
              <w:tc>
                <w:tcPr/>
                <w:p>
                  <w:pPr>
                    <w:pStyle w:val="Compact"/>
                    <w:jc w:val="center"/>
                    <w:jc w:val="center"/>
                  </w:pPr>
                  <w:r>
                    <w:t xml:space="preserve">0.9997</w:t>
                  </w:r>
                </w:p>
              </w:tc>
              <w:tc>
                <w:tcPr/>
                <w:p>
                  <w:pPr>
                    <w:pStyle w:val="Compact"/>
                    <w:jc w:val="center"/>
                    <w:jc w:val="center"/>
                  </w:pPr>
                  <w:r>
                    <w:t xml:space="preserve">0.9997</w:t>
                  </w:r>
                </w:p>
              </w:tc>
            </w:tr>
            <w:tr>
              <w:tc>
                <w:tcPr/>
                <w:p>
                  <w:pPr>
                    <w:pStyle w:val="Compact"/>
                    <w:jc w:val="center"/>
                    <w:jc w:val="center"/>
                  </w:pPr>
                  <w:r>
                    <w:t xml:space="preserve">0.0773</w:t>
                  </w:r>
                </w:p>
              </w:tc>
              <w:tc>
                <w:tcPr/>
                <w:p>
                  <w:pPr>
                    <w:pStyle w:val="Compact"/>
                    <w:jc w:val="center"/>
                    <w:jc w:val="center"/>
                  </w:pPr>
                  <w:r>
                    <w:t xml:space="preserve">0.9974</w:t>
                  </w:r>
                </w:p>
              </w:tc>
              <w:tc>
                <w:tcPr/>
                <w:p>
                  <w:pPr>
                    <w:pStyle w:val="Compact"/>
                    <w:jc w:val="center"/>
                    <w:jc w:val="center"/>
                  </w:pPr>
                  <w:r>
                    <w:t xml:space="preserve">0.9971</w:t>
                  </w:r>
                </w:p>
              </w:tc>
            </w:tr>
            <w:tr>
              <w:tc>
                <w:tcPr/>
                <w:p>
                  <w:pPr>
                    <w:pStyle w:val="Compact"/>
                    <w:jc w:val="center"/>
                    <w:jc w:val="center"/>
                  </w:pPr>
                  <w:r>
                    <w:t xml:space="preserve">0.0904</w:t>
                  </w:r>
                </w:p>
              </w:tc>
              <w:tc>
                <w:tcPr/>
                <w:p>
                  <w:pPr>
                    <w:pStyle w:val="Compact"/>
                    <w:jc w:val="center"/>
                    <w:jc w:val="center"/>
                  </w:pPr>
                  <w:r>
                    <w:t xml:space="preserve">0.9964</w:t>
                  </w:r>
                </w:p>
              </w:tc>
              <w:tc>
                <w:tcPr/>
                <w:p>
                  <w:pPr>
                    <w:pStyle w:val="Compact"/>
                    <w:jc w:val="center"/>
                    <w:jc w:val="center"/>
                  </w:pPr>
                  <w:r>
                    <w:t xml:space="preserve">0.9960</w:t>
                  </w:r>
                </w:p>
              </w:tc>
            </w:tr>
            <w:tr>
              <w:tc>
                <w:tcPr/>
                <w:p>
                  <w:pPr>
                    <w:pStyle w:val="Compact"/>
                    <w:jc w:val="center"/>
                    <w:jc w:val="center"/>
                  </w:pPr>
                  <w:r>
                    <w:t xml:space="preserve">0.1093</w:t>
                  </w:r>
                </w:p>
              </w:tc>
              <w:tc>
                <w:tcPr/>
                <w:p>
                  <w:pPr>
                    <w:pStyle w:val="Compact"/>
                    <w:jc w:val="center"/>
                    <w:jc w:val="center"/>
                  </w:pPr>
                  <w:r>
                    <w:t xml:space="preserve">0.9947</w:t>
                  </w:r>
                </w:p>
              </w:tc>
              <w:tc>
                <w:tcPr/>
                <w:p>
                  <w:pPr>
                    <w:pStyle w:val="Compact"/>
                    <w:jc w:val="center"/>
                    <w:jc w:val="center"/>
                  </w:pPr>
                  <w:r>
                    <w:t xml:space="preserve">0.9942</w:t>
                  </w:r>
                </w:p>
              </w:tc>
            </w:tr>
            <w:tr>
              <w:tc>
                <w:tcPr/>
                <w:p>
                  <w:pPr>
                    <w:pStyle w:val="Compact"/>
                    <w:jc w:val="center"/>
                    <w:jc w:val="center"/>
                  </w:pPr>
                  <w:r>
                    <w:t xml:space="preserve">0.1113</w:t>
                  </w:r>
                </w:p>
              </w:tc>
              <w:tc>
                <w:tcPr/>
                <w:p>
                  <w:pPr>
                    <w:pStyle w:val="Compact"/>
                    <w:jc w:val="center"/>
                    <w:jc w:val="center"/>
                  </w:pPr>
                  <w:r>
                    <w:t xml:space="preserve">0.9945</w:t>
                  </w:r>
                </w:p>
              </w:tc>
              <w:tc>
                <w:tcPr/>
                <w:p>
                  <w:pPr>
                    <w:pStyle w:val="Compact"/>
                    <w:jc w:val="center"/>
                    <w:jc w:val="center"/>
                  </w:pPr>
                  <w:r>
                    <w:t xml:space="preserve">0.9940</w:t>
                  </w:r>
                </w:p>
              </w:tc>
            </w:tr>
            <w:tr>
              <w:tc>
                <w:tcPr/>
                <w:p>
                  <w:pPr>
                    <w:pStyle w:val="Compact"/>
                    <w:jc w:val="center"/>
                    <w:jc w:val="center"/>
                  </w:pPr>
                  <w:r>
                    <w:t xml:space="preserve">0.1122</w:t>
                  </w:r>
                </w:p>
              </w:tc>
              <w:tc>
                <w:tcPr/>
                <w:p>
                  <w:pPr>
                    <w:pStyle w:val="Compact"/>
                    <w:jc w:val="center"/>
                    <w:jc w:val="center"/>
                  </w:pPr>
                  <w:r>
                    <w:t xml:space="preserve">0.9944</w:t>
                  </w:r>
                </w:p>
              </w:tc>
              <w:tc>
                <w:tcPr/>
                <w:p>
                  <w:pPr>
                    <w:pStyle w:val="Compact"/>
                    <w:jc w:val="center"/>
                    <w:jc w:val="center"/>
                  </w:pPr>
                  <w:r>
                    <w:t xml:space="preserve">0.9939</w:t>
                  </w:r>
                </w:p>
              </w:tc>
            </w:tr>
            <w:tr>
              <w:tc>
                <w:tcPr/>
                <w:p>
                  <w:pPr>
                    <w:pStyle w:val="Compact"/>
                    <w:jc w:val="center"/>
                    <w:jc w:val="center"/>
                  </w:pPr>
                  <w:r>
                    <w:t xml:space="preserve">0.1154</w:t>
                  </w:r>
                </w:p>
              </w:tc>
              <w:tc>
                <w:tcPr/>
                <w:p>
                  <w:pPr>
                    <w:pStyle w:val="Compact"/>
                    <w:jc w:val="center"/>
                    <w:jc w:val="center"/>
                  </w:pPr>
                  <w:r>
                    <w:t xml:space="preserve">0.9941</w:t>
                  </w:r>
                </w:p>
              </w:tc>
              <w:tc>
                <w:tcPr/>
                <w:p>
                  <w:pPr>
                    <w:pStyle w:val="Compact"/>
                    <w:jc w:val="center"/>
                    <w:jc w:val="center"/>
                  </w:pPr>
                  <w:r>
                    <w:t xml:space="preserve">0.9936</w:t>
                  </w:r>
                </w:p>
              </w:tc>
            </w:tr>
            <w:tr>
              <w:tc>
                <w:tcPr/>
                <w:p>
                  <w:pPr>
                    <w:pStyle w:val="Compact"/>
                    <w:jc w:val="center"/>
                    <w:jc w:val="center"/>
                  </w:pPr>
                  <w:r>
                    <w:t xml:space="preserve">0.1212</w:t>
                  </w:r>
                </w:p>
              </w:tc>
              <w:tc>
                <w:tcPr/>
                <w:p>
                  <w:pPr>
                    <w:pStyle w:val="Compact"/>
                    <w:jc w:val="center"/>
                    <w:jc w:val="center"/>
                  </w:pPr>
                  <w:r>
                    <w:t xml:space="preserve">0.9935</w:t>
                  </w:r>
                </w:p>
              </w:tc>
              <w:tc>
                <w:tcPr/>
                <w:p>
                  <w:pPr>
                    <w:pStyle w:val="Compact"/>
                    <w:jc w:val="center"/>
                    <w:jc w:val="center"/>
                  </w:pPr>
                  <w:r>
                    <w:t xml:space="preserve">0.9929</w:t>
                  </w:r>
                </w:p>
              </w:tc>
            </w:tr>
            <w:tr>
              <w:tc>
                <w:tcPr/>
                <w:p>
                  <w:pPr>
                    <w:pStyle w:val="Compact"/>
                    <w:jc w:val="center"/>
                    <w:jc w:val="center"/>
                  </w:pPr>
                  <w:r>
                    <w:t xml:space="preserve">0.1311</w:t>
                  </w:r>
                </w:p>
              </w:tc>
              <w:tc>
                <w:tcPr/>
                <w:p>
                  <w:pPr>
                    <w:pStyle w:val="Compact"/>
                    <w:jc w:val="center"/>
                    <w:jc w:val="center"/>
                  </w:pPr>
                  <w:r>
                    <w:t xml:space="preserve">0.9924</w:t>
                  </w:r>
                </w:p>
              </w:tc>
              <w:tc>
                <w:tcPr/>
                <w:p>
                  <w:pPr>
                    <w:pStyle w:val="Compact"/>
                    <w:jc w:val="center"/>
                    <w:jc w:val="center"/>
                  </w:pPr>
                  <w:r>
                    <w:t xml:space="preserve">0.9918</w:t>
                  </w:r>
                </w:p>
              </w:tc>
            </w:tr>
          </w:tbl>
          <w:bookmarkEnd w:id="138"/>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3.5</w:t>
        </w:r>
      </w:hyperlink>
      <w:r>
        <w:t xml:space="preserve">.</w:t>
      </w:r>
    </w:p>
    <w:p>
      <w:pPr>
        <w:pStyle w:val="SourceCode"/>
      </w:pP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"Verdadeiro"</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"Verdadeiro: "</w:t>
      </w:r>
      <w:r>
        <w:rPr>
          <w:rStyle w:val="NormalTok"/>
        </w:rPr>
        <w:t xml:space="preserve">, gamma, </w:t>
      </w:r>
      <w:r>
        <w:rPr>
          <w:rStyle w:val="StringTok"/>
        </w:rPr>
        <w:t xml:space="preserve">", "</w:t>
      </w:r>
      <w:r>
        <w:rPr>
          <w:rStyle w:val="NormalTok"/>
        </w:rPr>
        <w:t xml:space="preserve">, alpha)),</w:t>
      </w:r>
      <w:r>
        <w:br/>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"EMV: "</w:t>
      </w:r>
      <w:r>
        <w:rPr>
          <w:rStyle w:val="NormalTok"/>
        </w:rPr>
        <w:t xml:space="preserve">, </w:t>
      </w:r>
      <w:r>
        <w:rPr>
          <w:rStyle w:val="FunctionTok"/>
        </w:rPr>
        <w:t xml:space="preserve">hat</w:t>
      </w:r>
      <w:r>
        <w:rPr>
          <w:rStyle w:val="NormalTok"/>
        </w:rPr>
        <w:t xml:space="preserve">(gamma), </w:t>
      </w:r>
      <w:r>
        <w:rPr>
          <w:rStyle w:val="StringTok"/>
        </w:rPr>
        <w:t xml:space="preserve">", "</w:t>
      </w:r>
      <w:r>
        <w:rPr>
          <w:rStyle w:val="NormalTok"/>
        </w:rPr>
        <w:t xml:space="preserve">, </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2" w:name="fig-CompEMVWeibull"/>
          <w:p>
            <w:pPr>
              <w:jc w:val="center"/>
            </w:pPr>
            <w:pPr>
              <w:jc w:val="start"/>
              <w:spacing w:before="200"/>
              <w:pStyle w:val="ImageCaption"/>
            </w:pPr>
            <w:r>
              <w:t xml:space="preserve">Figura 3.5: Comparação do verdadeiro valor dos parâmetros γ e α com suas estimativas de máxima verossimilhança.</w:t>
            </w:r>
          </w:p>
          <w:p>
            <w:pPr>
              <w:pStyle w:val="Compact"/>
              <w:jc w:val="center"/>
            </w:pPr>
            <w:r>
              <w:drawing>
                <wp:inline>
                  <wp:extent cx="4620126" cy="3696101"/>
                  <wp:effectExtent b="0" l="0" r="0" t="0"/>
                  <wp:docPr descr="" title="" id="140" name="Picture"/>
                  <a:graphic>
                    <a:graphicData uri="http://schemas.openxmlformats.org/drawingml/2006/picture">
                      <pic:pic>
                        <pic:nvPicPr>
                          <pic:cNvPr descr="CIII_TEC_PARAM_files/figure-docx/fig-CompEMVWeibull-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tc>
      </w:tr>
    </w:tbl>
    <w:bookmarkEnd w:id="143"/>
    <w:bookmarkStart w:id="144" w:name="distribuição-log-normal-1"/>
    <w:p>
      <w:pPr>
        <w:pStyle w:val="Heading4"/>
      </w:pPr>
      <w:r>
        <w:t xml:space="preserve">3.3.2.3 Distribuição Log-normal</w:t>
      </w:r>
    </w:p>
    <w:bookmarkEnd w:id="144"/>
    <w:bookmarkEnd w:id="145"/>
    <w:bookmarkEnd w:id="146"/>
    <w:bookmarkEnd w:id="147"/>
    <w:bookmarkStart w:id="182" w:name="referêcias"/>
    <w:p>
      <w:pPr>
        <w:pStyle w:val="Heading1"/>
      </w:pPr>
      <w:r>
        <w:t xml:space="preserve">Referêcias</w:t>
      </w:r>
    </w:p>
    <w:bookmarkStart w:id="181" w:name="refs"/>
    <w:bookmarkStart w:id="149" w:name="ref-aalen1978nonparametric"/>
    <w:p>
      <w:pPr>
        <w:pStyle w:val="Bibliography"/>
      </w:pPr>
      <w:r>
        <w:t xml:space="preserve">Aalen, Odd O. 1978.</w:t>
      </w:r>
      <w:r>
        <w:t xml:space="preserve"> </w:t>
      </w:r>
      <w:r>
        <w:t xml:space="preserve">«Nonparametric Inference for a Family of Counting Processes»</w:t>
      </w:r>
      <w:r>
        <w:t xml:space="preserve">.</w:t>
      </w:r>
      <w:r>
        <w:t xml:space="preserve"> </w:t>
      </w:r>
      <w:r>
        <w:rPr>
          <w:i/>
          <w:iCs/>
        </w:rPr>
        <w:t xml:space="preserve">Annals of Statistics</w:t>
      </w:r>
      <w:r>
        <w:t xml:space="preserve"> </w:t>
      </w:r>
      <w:r>
        <w:t xml:space="preserve">6 (4): 701–26.</w:t>
      </w:r>
      <w:r>
        <w:t xml:space="preserve"> </w:t>
      </w:r>
      <w:hyperlink r:id="rId148">
        <w:r>
          <w:rPr>
            <w:rStyle w:val="Hyperlink"/>
          </w:rPr>
          <w:t xml:space="preserve">https://doi.org/10.1214/aos/1176344247</w:t>
        </w:r>
      </w:hyperlink>
      <w:r>
        <w:t xml:space="preserve">.</w:t>
      </w:r>
    </w:p>
    <w:bookmarkEnd w:id="149"/>
    <w:bookmarkStart w:id="150" w:name="ref-aalen1978empirical"/>
    <w:p>
      <w:pPr>
        <w:pStyle w:val="Bibliography"/>
      </w:pPr>
      <w:r>
        <w:t xml:space="preserve">Aalen, Odd O., e Søren Johansen. 1978.</w:t>
      </w:r>
      <w:r>
        <w:t xml:space="preserve"> </w:t>
      </w:r>
      <w:r>
        <w:t xml:space="preserve">«An Empirical Transition Matrix for Non-Homogeneous Markov Chains Based on Censored Observations»</w:t>
      </w:r>
      <w:r>
        <w:t xml:space="preserve">.</w:t>
      </w:r>
      <w:r>
        <w:t xml:space="preserve"> </w:t>
      </w:r>
      <w:r>
        <w:rPr>
          <w:i/>
          <w:iCs/>
        </w:rPr>
        <w:t xml:space="preserve">Scandinavian Journal of Statistics</w:t>
      </w:r>
      <w:r>
        <w:t xml:space="preserve"> </w:t>
      </w:r>
      <w:r>
        <w:t xml:space="preserve">5 (3): 141–50.</w:t>
      </w:r>
    </w:p>
    <w:bookmarkEnd w:id="150"/>
    <w:bookmarkStart w:id="152" w:name="ref-bohoris1994comparison"/>
    <w:p>
      <w:pPr>
        <w:pStyle w:val="Bibliography"/>
      </w:pPr>
      <w:r>
        <w:t xml:space="preserve">Bohoris, G. A. 1994.</w:t>
      </w:r>
      <w:r>
        <w:t xml:space="preserve"> </w:t>
      </w:r>
      <w:r>
        <w:t xml:space="preserve">«Comparison of the Cumulative-Hazard and Kaplan-Meier Estimators of the Survivor Function»</w:t>
      </w:r>
      <w:r>
        <w:t xml:space="preserve">.</w:t>
      </w:r>
      <w:r>
        <w:t xml:space="preserve"> </w:t>
      </w:r>
      <w:r>
        <w:rPr>
          <w:i/>
          <w:iCs/>
        </w:rPr>
        <w:t xml:space="preserve">IEEE Transactions on Reliability</w:t>
      </w:r>
      <w:r>
        <w:t xml:space="preserve"> </w:t>
      </w:r>
      <w:r>
        <w:t xml:space="preserve">43 (2): 230–32.</w:t>
      </w:r>
      <w:r>
        <w:t xml:space="preserve"> </w:t>
      </w:r>
      <w:hyperlink r:id="rId151">
        <w:r>
          <w:rPr>
            <w:rStyle w:val="Hyperlink"/>
          </w:rPr>
          <w:t xml:space="preserve">https://doi.org/10.1109/24.293488</w:t>
        </w:r>
      </w:hyperlink>
      <w:r>
        <w:t xml:space="preserve">.</w:t>
      </w:r>
    </w:p>
    <w:bookmarkEnd w:id="152"/>
    <w:bookmarkStart w:id="154" w:name="ref-breslow1974large"/>
    <w:p>
      <w:pPr>
        <w:pStyle w:val="Bibliography"/>
      </w:pPr>
      <w:r>
        <w:t xml:space="preserve">Breslow, Norman, e John Crowley. 1974.</w:t>
      </w:r>
      <w:r>
        <w:t xml:space="preserve"> </w:t>
      </w:r>
      <w:r>
        <w:t xml:space="preserve">«A Large Sample Study of the Life Table and Product Limit Estimates under Random Censorship»</w:t>
      </w:r>
      <w:r>
        <w:t xml:space="preserve">.</w:t>
      </w:r>
      <w:r>
        <w:t xml:space="preserve"> </w:t>
      </w:r>
      <w:r>
        <w:rPr>
          <w:i/>
          <w:iCs/>
        </w:rPr>
        <w:t xml:space="preserve">The Annals of Statistics</w:t>
      </w:r>
      <w:r>
        <w:t xml:space="preserve"> </w:t>
      </w:r>
      <w:r>
        <w:t xml:space="preserve">2 (3): 437–53.</w:t>
      </w:r>
      <w:r>
        <w:t xml:space="preserve"> </w:t>
      </w:r>
      <w:hyperlink r:id="rId153">
        <w:r>
          <w:rPr>
            <w:rStyle w:val="Hyperlink"/>
          </w:rPr>
          <w:t xml:space="preserve">https://doi.org/10.1214/aos/1176342705</w:t>
        </w:r>
      </w:hyperlink>
      <w:r>
        <w:t xml:space="preserve">.</w:t>
      </w:r>
    </w:p>
    <w:bookmarkEnd w:id="154"/>
    <w:bookmarkStart w:id="155" w:name="ref-bussab2010estatistica"/>
    <w:p>
      <w:pPr>
        <w:pStyle w:val="Bibliography"/>
      </w:pPr>
      <w:r>
        <w:t xml:space="preserve">Bussab, Wilton de Oliveira, e Pedro Alberto Morettin. 2010.</w:t>
      </w:r>
      <w:r>
        <w:t xml:space="preserve"> </w:t>
      </w:r>
      <w:r>
        <w:rPr>
          <w:i/>
          <w:iCs/>
        </w:rPr>
        <w:t xml:space="preserve">Estatística Básica</w:t>
      </w:r>
      <w:r>
        <w:t xml:space="preserve">. 6ª ed. São Paulo: Saraiva.</w:t>
      </w:r>
    </w:p>
    <w:bookmarkEnd w:id="155"/>
    <w:bookmarkStart w:id="156" w:name="ref-colosimo2006analise"/>
    <w:p>
      <w:pPr>
        <w:pStyle w:val="Bibliography"/>
      </w:pPr>
      <w:r>
        <w:t xml:space="preserve">Colosimo, Enrico Antonio, e Suely Ruiz Giolo. 2006.</w:t>
      </w:r>
      <w:r>
        <w:t xml:space="preserve"> </w:t>
      </w:r>
      <w:r>
        <w:rPr>
          <w:i/>
          <w:iCs/>
        </w:rPr>
        <w:t xml:space="preserve">Análise de Sobrevivência Aplicada</w:t>
      </w:r>
      <w:r>
        <w:t xml:space="preserve">. 1.ª ed. São Paulo, Brasil: Blucher.</w:t>
      </w:r>
    </w:p>
    <w:bookmarkEnd w:id="156"/>
    <w:bookmarkStart w:id="158" w:name="ref-gehan1965generalized"/>
    <w:p>
      <w:pPr>
        <w:pStyle w:val="Bibliography"/>
      </w:pPr>
      <w:r>
        <w:t xml:space="preserve">Gehan, Edmund A. 1965.</w:t>
      </w:r>
      <w:r>
        <w:t xml:space="preserve"> </w:t>
      </w:r>
      <w:r>
        <w:t xml:space="preserve">«A Generalized Wilcoxon Test for Comparing Arbitrarily Singly-Censored Samples»</w:t>
      </w:r>
      <w:r>
        <w:t xml:space="preserve">.</w:t>
      </w:r>
      <w:r>
        <w:t xml:space="preserve"> </w:t>
      </w:r>
      <w:r>
        <w:rPr>
          <w:i/>
          <w:iCs/>
        </w:rPr>
        <w:t xml:space="preserve">Biometrika</w:t>
      </w:r>
      <w:r>
        <w:t xml:space="preserve"> </w:t>
      </w:r>
      <w:r>
        <w:t xml:space="preserve">52 (1-2): 203–24.</w:t>
      </w:r>
      <w:r>
        <w:t xml:space="preserve"> </w:t>
      </w:r>
      <w:hyperlink r:id="rId157">
        <w:r>
          <w:rPr>
            <w:rStyle w:val="Hyperlink"/>
          </w:rPr>
          <w:t xml:space="preserve">https://doi.org/10.2307/2333825</w:t>
        </w:r>
      </w:hyperlink>
      <w:r>
        <w:t xml:space="preserve">.</w:t>
      </w:r>
    </w:p>
    <w:bookmarkEnd w:id="158"/>
    <w:bookmarkStart w:id="159" w:name="ref-kalbfleisch1980statistical"/>
    <w:p>
      <w:pPr>
        <w:pStyle w:val="Bibliography"/>
      </w:pPr>
      <w:r>
        <w:t xml:space="preserve">Kalbfleisch, John D., e Ross L. Prentice. 1980.</w:t>
      </w:r>
      <w:r>
        <w:t xml:space="preserve"> </w:t>
      </w:r>
      <w:r>
        <w:rPr>
          <w:i/>
          <w:iCs/>
        </w:rPr>
        <w:t xml:space="preserve">The Statistical Analysis of Failure Time Data</w:t>
      </w:r>
      <w:r>
        <w:t xml:space="preserve">. Wiley Series em Probability e Mathematical Statistics. New York: Wiley.</w:t>
      </w:r>
    </w:p>
    <w:bookmarkEnd w:id="159"/>
    <w:bookmarkStart w:id="161" w:name="ref-kaplan1958nonparametric"/>
    <w:p>
      <w:pPr>
        <w:pStyle w:val="Bibliography"/>
      </w:pPr>
      <w:r>
        <w:t xml:space="preserve">Kaplan, Edward L., e Paul Meier. 1958.</w:t>
      </w:r>
      <w:r>
        <w:t xml:space="preserve"> </w:t>
      </w:r>
      <w:r>
        <w:t xml:space="preserve">«Nonparametric Estimation from Incomplete Observations»</w:t>
      </w:r>
      <w:r>
        <w:t xml:space="preserve">.</w:t>
      </w:r>
      <w:r>
        <w:t xml:space="preserve"> </w:t>
      </w:r>
      <w:r>
        <w:rPr>
          <w:i/>
          <w:iCs/>
        </w:rPr>
        <w:t xml:space="preserve">Journal of the American Statistical Association</w:t>
      </w:r>
      <w:r>
        <w:t xml:space="preserve"> </w:t>
      </w:r>
      <w:r>
        <w:t xml:space="preserve">53 (282): 457–81.</w:t>
      </w:r>
      <w:r>
        <w:t xml:space="preserve"> </w:t>
      </w:r>
      <w:hyperlink r:id="rId160">
        <w:r>
          <w:rPr>
            <w:rStyle w:val="Hyperlink"/>
          </w:rPr>
          <w:t xml:space="preserve">https://doi.org/10.1080/01621459.1958.10501452</w:t>
        </w:r>
      </w:hyperlink>
      <w:r>
        <w:t xml:space="preserve">.</w:t>
      </w:r>
    </w:p>
    <w:bookmarkEnd w:id="161"/>
    <w:bookmarkStart w:id="163" w:name="ref-klein1991small"/>
    <w:p>
      <w:pPr>
        <w:pStyle w:val="Bibliography"/>
      </w:pPr>
      <w:r>
        <w:t xml:space="preserve">Klein, John P. 1991.</w:t>
      </w:r>
      <w:r>
        <w:t xml:space="preserve"> </w:t>
      </w:r>
      <w:r>
        <w:t xml:space="preserve">«Small Sample Moments of Some Estimators of the Variance of the Kaplan-Meier and Nelson-Aalen Estimators»</w:t>
      </w:r>
      <w:r>
        <w:t xml:space="preserve">.</w:t>
      </w:r>
      <w:r>
        <w:t xml:space="preserve"> </w:t>
      </w:r>
      <w:r>
        <w:rPr>
          <w:i/>
          <w:iCs/>
        </w:rPr>
        <w:t xml:space="preserve">Scandinavian Journal of Statistics</w:t>
      </w:r>
      <w:r>
        <w:t xml:space="preserve"> </w:t>
      </w:r>
      <w:r>
        <w:t xml:space="preserve">18 (4): 333–40.</w:t>
      </w:r>
      <w:r>
        <w:t xml:space="preserve"> </w:t>
      </w:r>
      <w:hyperlink r:id="rId162">
        <w:r>
          <w:rPr>
            <w:rStyle w:val="Hyperlink"/>
          </w:rPr>
          <w:t xml:space="preserve">https://doi.org/10.2307/4616203</w:t>
        </w:r>
      </w:hyperlink>
      <w:r>
        <w:t xml:space="preserve">.</w:t>
      </w:r>
    </w:p>
    <w:bookmarkEnd w:id="163"/>
    <w:bookmarkStart w:id="165" w:name="ref-latta1981monte"/>
    <w:p>
      <w:pPr>
        <w:pStyle w:val="Bibliography"/>
      </w:pPr>
      <w:r>
        <w:t xml:space="preserve">Latta, Robert B. 1981.</w:t>
      </w:r>
      <w:r>
        <w:t xml:space="preserve"> </w:t>
      </w:r>
      <w:r>
        <w:t xml:space="preserve">«A Monte Carlo Study of Some Two-Sample Rank Tests with Censored Data»</w:t>
      </w:r>
      <w:r>
        <w:t xml:space="preserve">.</w:t>
      </w:r>
      <w:r>
        <w:t xml:space="preserve"> </w:t>
      </w:r>
      <w:r>
        <w:rPr>
          <w:i/>
          <w:iCs/>
        </w:rPr>
        <w:t xml:space="preserve">Journal of the American Statistical Association</w:t>
      </w:r>
      <w:r>
        <w:t xml:space="preserve"> </w:t>
      </w:r>
      <w:r>
        <w:t xml:space="preserve">76 (375): 713–19.</w:t>
      </w:r>
      <w:r>
        <w:t xml:space="preserve"> </w:t>
      </w:r>
      <w:hyperlink r:id="rId164">
        <w:r>
          <w:rPr>
            <w:rStyle w:val="Hyperlink"/>
          </w:rPr>
          <w:t xml:space="preserve">https://doi.org/10.2307/2287572</w:t>
        </w:r>
      </w:hyperlink>
      <w:r>
        <w:t xml:space="preserve">.</w:t>
      </w:r>
    </w:p>
    <w:bookmarkEnd w:id="165"/>
    <w:bookmarkStart w:id="166" w:name="ref-lawless1982statistical"/>
    <w:p>
      <w:pPr>
        <w:pStyle w:val="Bibliography"/>
      </w:pPr>
      <w:r>
        <w:t xml:space="preserve">Lawless, J. F. 1982.</w:t>
      </w:r>
      <w:r>
        <w:t xml:space="preserve"> </w:t>
      </w:r>
      <w:r>
        <w:rPr>
          <w:i/>
          <w:iCs/>
        </w:rPr>
        <w:t xml:space="preserve">Statistical Models and Methods for Lifetime Data</w:t>
      </w:r>
      <w:r>
        <w:t xml:space="preserve">. Wiley Series em Probability e Statistics. New York: John Wiley &amp; Sons.</w:t>
      </w:r>
    </w:p>
    <w:bookmarkEnd w:id="166"/>
    <w:bookmarkStart w:id="168" w:name="ref-lindsey1998methods"/>
    <w:p>
      <w:pPr>
        <w:pStyle w:val="Bibliography"/>
      </w:pPr>
      <w:r>
        <w:t xml:space="preserve">Lindsey, Jane C., e Louise M. Ryan. 1998.</w:t>
      </w:r>
      <w:r>
        <w:t xml:space="preserve"> </w:t>
      </w:r>
      <w:r>
        <w:t xml:space="preserve">«Methods for Interval-Censored Data»</w:t>
      </w:r>
      <w:r>
        <w:t xml:space="preserve">.</w:t>
      </w:r>
      <w:r>
        <w:t xml:space="preserve"> </w:t>
      </w:r>
      <w:r>
        <w:rPr>
          <w:i/>
          <w:iCs/>
        </w:rPr>
        <w:t xml:space="preserve">Statistics in Medicine</w:t>
      </w:r>
      <w:r>
        <w:t xml:space="preserve"> </w:t>
      </w:r>
      <w:r>
        <w:t xml:space="preserve">17 (2): 219–38.</w:t>
      </w:r>
      <w:r>
        <w:t xml:space="preserve"> </w:t>
      </w:r>
      <w:hyperlink r:id="rId167">
        <w:r>
          <w:rPr>
            <w:rStyle w:val="Hyperlink"/>
          </w:rPr>
          <w:t xml:space="preserve">https://doi.org/10.1002/(SICI)1097-0258(19980130)17:2&lt;219::AID-SIM735&gt;3.0.CO;2-D</w:t>
        </w:r>
      </w:hyperlink>
      <w:r>
        <w:t xml:space="preserve">.</w:t>
      </w:r>
    </w:p>
    <w:bookmarkEnd w:id="168"/>
    <w:bookmarkStart w:id="169" w:name="ref-mantel1966evaluation"/>
    <w:p>
      <w:pPr>
        <w:pStyle w:val="Bibliography"/>
      </w:pPr>
      <w:r>
        <w:t xml:space="preserve">Mantel, Nathan. 1966.</w:t>
      </w:r>
      <w:r>
        <w:t xml:space="preserve"> </w:t>
      </w:r>
      <w:r>
        <w:t xml:space="preserve">«Evaluation of Survival Data and Two New Rank Order Statistics Arising in Its Consideration»</w:t>
      </w:r>
      <w:r>
        <w:t xml:space="preserve">.</w:t>
      </w:r>
      <w:r>
        <w:t xml:space="preserve"> </w:t>
      </w:r>
      <w:r>
        <w:rPr>
          <w:i/>
          <w:iCs/>
        </w:rPr>
        <w:t xml:space="preserve">Cancer Chemotherapy Reports</w:t>
      </w:r>
      <w:r>
        <w:t xml:space="preserve"> </w:t>
      </w:r>
      <w:r>
        <w:t xml:space="preserve">50 (3): 163–70.</w:t>
      </w:r>
    </w:p>
    <w:bookmarkEnd w:id="169"/>
    <w:bookmarkStart w:id="170" w:name="ref-mantel1959statistical"/>
    <w:p>
      <w:pPr>
        <w:pStyle w:val="Bibliography"/>
      </w:pPr>
      <w:r>
        <w:t xml:space="preserve">Mantel, Nathan, e William Haenszel. 1959.</w:t>
      </w:r>
      <w:r>
        <w:t xml:space="preserve"> </w:t>
      </w:r>
      <w:r>
        <w:t xml:space="preserve">«Statistical Aspects of the Analysis of Data from Retrospective Studies of Disease»</w:t>
      </w:r>
      <w:r>
        <w:t xml:space="preserve">.</w:t>
      </w:r>
      <w:r>
        <w:t xml:space="preserve"> </w:t>
      </w:r>
      <w:r>
        <w:rPr>
          <w:i/>
          <w:iCs/>
        </w:rPr>
        <w:t xml:space="preserve">Journal of the National Cancer Institute</w:t>
      </w:r>
      <w:r>
        <w:t xml:space="preserve"> </w:t>
      </w:r>
      <w:r>
        <w:t xml:space="preserve">22 (4): 719–48.</w:t>
      </w:r>
    </w:p>
    <w:bookmarkEnd w:id="170"/>
    <w:bookmarkStart w:id="172" w:name="ref-meier1975estimation"/>
    <w:p>
      <w:pPr>
        <w:pStyle w:val="Bibliography"/>
      </w:pPr>
      <w:r>
        <w:t xml:space="preserve">Meier, Paul. 1975.</w:t>
      </w:r>
      <w:r>
        <w:t xml:space="preserve"> </w:t>
      </w:r>
      <w:r>
        <w:t xml:space="preserve">«Estimation of a Survival Curve from Incomplete Data»</w:t>
      </w:r>
      <w:r>
        <w:t xml:space="preserve">.</w:t>
      </w:r>
      <w:r>
        <w:t xml:space="preserve"> </w:t>
      </w:r>
      <w:r>
        <w:rPr>
          <w:i/>
          <w:iCs/>
        </w:rPr>
        <w:t xml:space="preserve">Journal of the American Statistical Association</w:t>
      </w:r>
      <w:r>
        <w:t xml:space="preserve"> </w:t>
      </w:r>
      <w:r>
        <w:t xml:space="preserve">70 (351): 607–10.</w:t>
      </w:r>
      <w:r>
        <w:t xml:space="preserve"> </w:t>
      </w:r>
      <w:hyperlink r:id="rId171">
        <w:r>
          <w:rPr>
            <w:rStyle w:val="Hyperlink"/>
          </w:rPr>
          <w:t xml:space="preserve">https://doi.org/10.1080/01621459.1975.10479872</w:t>
        </w:r>
      </w:hyperlink>
      <w:r>
        <w:t xml:space="preserve">.</w:t>
      </w:r>
    </w:p>
    <w:bookmarkEnd w:id="172"/>
    <w:bookmarkStart w:id="174" w:name="ref-nelson1972theory"/>
    <w:p>
      <w:pPr>
        <w:pStyle w:val="Bibliography"/>
      </w:pPr>
      <w:r>
        <w:t xml:space="preserve">Nelson, Wayne. 1972.</w:t>
      </w:r>
      <w:r>
        <w:t xml:space="preserve"> </w:t>
      </w:r>
      <w:r>
        <w:t xml:space="preserve">«Theory and Applications of Hazard Plotting for Censored Failure Data»</w:t>
      </w:r>
      <w:r>
        <w:t xml:space="preserve">.</w:t>
      </w:r>
      <w:r>
        <w:t xml:space="preserve"> </w:t>
      </w:r>
      <w:r>
        <w:rPr>
          <w:i/>
          <w:iCs/>
        </w:rPr>
        <w:t xml:space="preserve">Technometrics</w:t>
      </w:r>
      <w:r>
        <w:t xml:space="preserve"> </w:t>
      </w:r>
      <w:r>
        <w:t xml:space="preserve">14 (4): 945–66.</w:t>
      </w:r>
      <w:r>
        <w:t xml:space="preserve"> </w:t>
      </w:r>
      <w:hyperlink r:id="rId173">
        <w:r>
          <w:rPr>
            <w:rStyle w:val="Hyperlink"/>
          </w:rPr>
          <w:t xml:space="preserve">https://doi.org/10.1080/00401706.1972.10488981</w:t>
        </w:r>
      </w:hyperlink>
      <w:r>
        <w:t xml:space="preserve">.</w:t>
      </w:r>
    </w:p>
    <w:bookmarkEnd w:id="174"/>
    <w:bookmarkStart w:id="176" w:name="ref-peto1972asymptotically"/>
    <w:p>
      <w:pPr>
        <w:pStyle w:val="Bibliography"/>
      </w:pPr>
      <w:r>
        <w:t xml:space="preserve">Peto, Richard, e Julian Peto. 1972.</w:t>
      </w:r>
      <w:r>
        <w:t xml:space="preserve"> </w:t>
      </w:r>
      <w:r>
        <w:t xml:space="preserve">«Asymptotically Efficient Rank Invariant Test Procedures»</w:t>
      </w:r>
      <w:r>
        <w:t xml:space="preserve">.</w:t>
      </w:r>
      <w:r>
        <w:t xml:space="preserve"> </w:t>
      </w:r>
      <w:r>
        <w:rPr>
          <w:i/>
          <w:iCs/>
        </w:rPr>
        <w:t xml:space="preserve">Journal of the Royal Statistical Society: Series A (General)</w:t>
      </w:r>
      <w:r>
        <w:t xml:space="preserve"> </w:t>
      </w:r>
      <w:r>
        <w:t xml:space="preserve">135 (2): 185–98.</w:t>
      </w:r>
      <w:r>
        <w:t xml:space="preserve"> </w:t>
      </w:r>
      <w:hyperlink r:id="rId175">
        <w:r>
          <w:rPr>
            <w:rStyle w:val="Hyperlink"/>
          </w:rPr>
          <w:t xml:space="preserve">https://doi.org/10.2307/2344317</w:t>
        </w:r>
      </w:hyperlink>
      <w:r>
        <w:t xml:space="preserve">.</w:t>
      </w:r>
    </w:p>
    <w:bookmarkEnd w:id="176"/>
    <w:bookmarkStart w:id="178" w:name="ref-prentice1978linear"/>
    <w:p>
      <w:pPr>
        <w:pStyle w:val="Bibliography"/>
      </w:pPr>
      <w:r>
        <w:t xml:space="preserve">Prentice, Ross L. 1978.</w:t>
      </w:r>
      <w:r>
        <w:t xml:space="preserve"> </w:t>
      </w:r>
      <w:r>
        <w:t xml:space="preserve">«Linear Rank Tests with Right Censored Data»</w:t>
      </w:r>
      <w:r>
        <w:t xml:space="preserve">.</w:t>
      </w:r>
      <w:r>
        <w:t xml:space="preserve"> </w:t>
      </w:r>
      <w:r>
        <w:rPr>
          <w:i/>
          <w:iCs/>
        </w:rPr>
        <w:t xml:space="preserve">Biometrika</w:t>
      </w:r>
      <w:r>
        <w:t xml:space="preserve"> </w:t>
      </w:r>
      <w:r>
        <w:t xml:space="preserve">65 (1): 167–79.</w:t>
      </w:r>
      <w:r>
        <w:t xml:space="preserve"> </w:t>
      </w:r>
      <w:hyperlink r:id="rId177">
        <w:r>
          <w:rPr>
            <w:rStyle w:val="Hyperlink"/>
          </w:rPr>
          <w:t xml:space="preserve">https://doi.org/10.2307/2335206</w:t>
        </w:r>
      </w:hyperlink>
      <w:r>
        <w:t xml:space="preserve">.</w:t>
      </w:r>
    </w:p>
    <w:bookmarkEnd w:id="178"/>
    <w:bookmarkStart w:id="180" w:name="ref-turnbull1974nonparametric"/>
    <w:p>
      <w:pPr>
        <w:pStyle w:val="Bibliography"/>
      </w:pPr>
      <w:r>
        <w:t xml:space="preserve">Turnbull, Bruce W. 1974.</w:t>
      </w:r>
      <w:r>
        <w:t xml:space="preserve"> </w:t>
      </w:r>
      <w:r>
        <w:t xml:space="preserve">«Nonparametric Estimation of a Survivorship Function with Doubly Censored Data»</w:t>
      </w:r>
      <w:r>
        <w:t xml:space="preserve">.</w:t>
      </w:r>
      <w:r>
        <w:t xml:space="preserve"> </w:t>
      </w:r>
      <w:r>
        <w:rPr>
          <w:i/>
          <w:iCs/>
        </w:rPr>
        <w:t xml:space="preserve">Journal of the American Statistical Association</w:t>
      </w:r>
      <w:r>
        <w:t xml:space="preserve"> </w:t>
      </w:r>
      <w:r>
        <w:t xml:space="preserve">69 (345): 169–73.</w:t>
      </w:r>
      <w:r>
        <w:t xml:space="preserve"> </w:t>
      </w:r>
      <w:hyperlink r:id="rId179">
        <w:r>
          <w:rPr>
            <w:rStyle w:val="Hyperlink"/>
          </w:rPr>
          <w:t xml:space="preserve">https://doi.org/10.1080/01621459.1974.10480146</w:t>
        </w:r>
      </w:hyperlink>
      <w:r>
        <w:t xml:space="preserve">.</w:t>
      </w:r>
    </w:p>
    <w:bookmarkEnd w:id="180"/>
    <w:bookmarkEnd w:id="181"/>
    <w:bookmarkEnd w:id="1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 Target="media/rId139.png" /><Relationship Type="http://schemas.openxmlformats.org/officeDocument/2006/relationships/image" Id="rId133" Target="media/rId13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45" Target="media/rId45.png" /><Relationship Type="http://schemas.openxmlformats.org/officeDocument/2006/relationships/hyperlink" Id="rId167" Target="https://doi.org/10.1002/(SICI)1097-0258(19980130)17:2&lt;219::AID-SIM735&gt;3.0.CO;2-D" TargetMode="External" /><Relationship Type="http://schemas.openxmlformats.org/officeDocument/2006/relationships/hyperlink" Id="rId173" Target="https://doi.org/10.1080/00401706.1972.10488981" TargetMode="External" /><Relationship Type="http://schemas.openxmlformats.org/officeDocument/2006/relationships/hyperlink" Id="rId160" Target="https://doi.org/10.1080/01621459.1958.10501452" TargetMode="External" /><Relationship Type="http://schemas.openxmlformats.org/officeDocument/2006/relationships/hyperlink" Id="rId179" Target="https://doi.org/10.1080/01621459.1974.10480146" TargetMode="External" /><Relationship Type="http://schemas.openxmlformats.org/officeDocument/2006/relationships/hyperlink" Id="rId171" Target="https://doi.org/10.1080/01621459.1975.10479872" TargetMode="External" /><Relationship Type="http://schemas.openxmlformats.org/officeDocument/2006/relationships/hyperlink" Id="rId151" Target="https://doi.org/10.1109/24.293488" TargetMode="External" /><Relationship Type="http://schemas.openxmlformats.org/officeDocument/2006/relationships/hyperlink" Id="rId153" Target="https://doi.org/10.1214/aos/1176342705" TargetMode="External" /><Relationship Type="http://schemas.openxmlformats.org/officeDocument/2006/relationships/hyperlink" Id="rId148" Target="https://doi.org/10.1214/aos/1176344247" TargetMode="External" /><Relationship Type="http://schemas.openxmlformats.org/officeDocument/2006/relationships/hyperlink" Id="rId164" Target="https://doi.org/10.2307/2287572" TargetMode="External" /><Relationship Type="http://schemas.openxmlformats.org/officeDocument/2006/relationships/hyperlink" Id="rId157" Target="https://doi.org/10.2307/2333825" TargetMode="External" /><Relationship Type="http://schemas.openxmlformats.org/officeDocument/2006/relationships/hyperlink" Id="rId177" Target="https://doi.org/10.2307/2335206" TargetMode="External" /><Relationship Type="http://schemas.openxmlformats.org/officeDocument/2006/relationships/hyperlink" Id="rId175" Target="https://doi.org/10.2307/2344317" TargetMode="External" /><Relationship Type="http://schemas.openxmlformats.org/officeDocument/2006/relationships/hyperlink" Id="rId162" Target="https://doi.org/10.2307/4616203" TargetMode="External" /></Relationships>
</file>

<file path=word/_rels/footnotes.xml.rels><?xml version="1.0" encoding="UTF-8"?><Relationships xmlns="http://schemas.openxmlformats.org/package/2006/relationships"><Relationship Type="http://schemas.openxmlformats.org/officeDocument/2006/relationships/hyperlink" Id="rId167" Target="https://doi.org/10.1002/(SICI)1097-0258(19980130)17:2&lt;219::AID-SIM735&gt;3.0.CO;2-D" TargetMode="External" /><Relationship Type="http://schemas.openxmlformats.org/officeDocument/2006/relationships/hyperlink" Id="rId173" Target="https://doi.org/10.1080/00401706.1972.10488981" TargetMode="External" /><Relationship Type="http://schemas.openxmlformats.org/officeDocument/2006/relationships/hyperlink" Id="rId160" Target="https://doi.org/10.1080/01621459.1958.10501452" TargetMode="External" /><Relationship Type="http://schemas.openxmlformats.org/officeDocument/2006/relationships/hyperlink" Id="rId179" Target="https://doi.org/10.1080/01621459.1974.10480146" TargetMode="External" /><Relationship Type="http://schemas.openxmlformats.org/officeDocument/2006/relationships/hyperlink" Id="rId171" Target="https://doi.org/10.1080/01621459.1975.10479872" TargetMode="External" /><Relationship Type="http://schemas.openxmlformats.org/officeDocument/2006/relationships/hyperlink" Id="rId151" Target="https://doi.org/10.1109/24.293488" TargetMode="External" /><Relationship Type="http://schemas.openxmlformats.org/officeDocument/2006/relationships/hyperlink" Id="rId153" Target="https://doi.org/10.1214/aos/1176342705" TargetMode="External" /><Relationship Type="http://schemas.openxmlformats.org/officeDocument/2006/relationships/hyperlink" Id="rId148" Target="https://doi.org/10.1214/aos/1176344247" TargetMode="External" /><Relationship Type="http://schemas.openxmlformats.org/officeDocument/2006/relationships/hyperlink" Id="rId164" Target="https://doi.org/10.2307/2287572" TargetMode="External" /><Relationship Type="http://schemas.openxmlformats.org/officeDocument/2006/relationships/hyperlink" Id="rId157" Target="https://doi.org/10.2307/2333825" TargetMode="External" /><Relationship Type="http://schemas.openxmlformats.org/officeDocument/2006/relationships/hyperlink" Id="rId177" Target="https://doi.org/10.2307/2335206" TargetMode="External" /><Relationship Type="http://schemas.openxmlformats.org/officeDocument/2006/relationships/hyperlink" Id="rId175" Target="https://doi.org/10.2307/2344317" TargetMode="External" /><Relationship Type="http://schemas.openxmlformats.org/officeDocument/2006/relationships/hyperlink" Id="rId162" Target="https://doi.org/10.2307/4616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2025-01-28T15:10:13Z</dcterms:created>
  <dcterms:modified xsi:type="dcterms:W3CDTF">2025-01-28T15:10:13Z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2024-01-25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