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</w:t>
      </w:r>
      <w:r>
        <w:t xml:space="preserve"> </w:t>
      </w:r>
      <w:r>
        <w:t xml:space="preserve">Estudo</w:t>
      </w:r>
      <w:r>
        <w:t xml:space="preserve"> </w:t>
      </w:r>
      <w:r>
        <w:t xml:space="preserve">Descritivo</w:t>
      </w:r>
      <w:r>
        <w:t xml:space="preserve"> </w:t>
      </w:r>
      <w:r>
        <w:t xml:space="preserve">sobre</w:t>
      </w:r>
      <w:r>
        <w:t xml:space="preserve"> </w:t>
      </w:r>
      <w:r>
        <w:t xml:space="preserve">a</w:t>
      </w:r>
      <w:r>
        <w:t xml:space="preserve"> </w:t>
      </w:r>
      <w:r>
        <w:t xml:space="preserve">Conscientização</w:t>
      </w:r>
      <w:r>
        <w:t xml:space="preserve"> </w:t>
      </w:r>
      <w:r>
        <w:t xml:space="preserve">Ambiental</w:t>
      </w:r>
    </w:p>
    <w:p>
      <w:pPr>
        <w:pStyle w:val="Author"/>
      </w:pPr>
      <w:r>
        <w:t xml:space="preserve">João</w:t>
      </w:r>
      <w:r>
        <w:t xml:space="preserve"> </w:t>
      </w:r>
      <w:r>
        <w:t xml:space="preserve">Vitor</w:t>
      </w:r>
      <w:r>
        <w:t xml:space="preserve"> </w:t>
      </w:r>
      <w:r>
        <w:t xml:space="preserve">Costa</w:t>
      </w:r>
      <w:r>
        <w:t xml:space="preserve"> </w:t>
      </w:r>
      <w:r>
        <w:t xml:space="preserve">Pinheiro</w:t>
      </w:r>
    </w:p>
    <w:p>
      <w:pPr>
        <w:pStyle w:val="Author"/>
      </w:pPr>
      <w:r>
        <w:t xml:space="preserve">Breno</w:t>
      </w:r>
      <w:r>
        <w:t xml:space="preserve"> </w:t>
      </w:r>
      <w:r>
        <w:t xml:space="preserve">Cauã</w:t>
      </w:r>
      <w:r>
        <w:t xml:space="preserve"> </w:t>
      </w:r>
      <w:r>
        <w:t xml:space="preserve">Rodrigues</w:t>
      </w:r>
      <w:r>
        <w:t xml:space="preserve"> </w:t>
      </w:r>
      <w:r>
        <w:t xml:space="preserve">da</w:t>
      </w:r>
      <w:r>
        <w:t xml:space="preserve"> </w:t>
      </w:r>
      <w:r>
        <w:t xml:space="preserve">Silva</w:t>
      </w:r>
    </w:p>
    <w:bookmarkStart w:id="20" w:name="resumo"/>
    <w:p>
      <w:pPr>
        <w:pStyle w:val="Heading1"/>
      </w:pPr>
      <w:r>
        <w:t xml:space="preserve">Resumo</w:t>
      </w:r>
    </w:p>
    <w:p>
      <w:pPr>
        <w:pStyle w:val="FirstParagraph"/>
      </w:pPr>
      <w:r>
        <w:t xml:space="preserve">Este trabalho …</w:t>
      </w:r>
    </w:p>
    <w:bookmarkEnd w:id="20"/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This work …</w:t>
      </w:r>
    </w:p>
    <w:bookmarkEnd w:id="21"/>
    <w:bookmarkStart w:id="23" w:name="introdução"/>
    <w:p>
      <w:pPr>
        <w:pStyle w:val="Heading1"/>
      </w:pPr>
      <w:r>
        <w:t xml:space="preserve">1. Introdução</w:t>
      </w:r>
    </w:p>
    <w:bookmarkStart w:id="22" w:name="objetivo"/>
    <w:p>
      <w:pPr>
        <w:pStyle w:val="Heading2"/>
      </w:pPr>
      <w:r>
        <w:t xml:space="preserve">1.1 Objetivo</w:t>
      </w:r>
    </w:p>
    <w:bookmarkEnd w:id="22"/>
    <w:bookmarkEnd w:id="23"/>
    <w:bookmarkStart w:id="31" w:name="materiais-e-métodos"/>
    <w:p>
      <w:pPr>
        <w:pStyle w:val="Heading1"/>
      </w:pPr>
      <w:r>
        <w:t xml:space="preserve">2. Materiais e Métodos</w:t>
      </w:r>
    </w:p>
    <w:bookmarkStart w:id="27" w:name="conjunto-de-dados"/>
    <w:p>
      <w:pPr>
        <w:pStyle w:val="Heading2"/>
      </w:pPr>
      <w:r>
        <w:t xml:space="preserve">2.1 Conjunto de Dados</w:t>
      </w:r>
    </w:p>
    <w:p>
      <w:pPr>
        <w:pStyle w:val="FirstParagraph"/>
      </w:pPr>
      <w:r>
        <w:t xml:space="preserve">Para o estudo em questão, foi retirada uma amostra, através de uma amostragem por quotas, para estimar a</w:t>
      </w:r>
      <w:r>
        <w:t xml:space="preserve"> </w:t>
      </w:r>
      <w:r>
        <w:rPr>
          <w:i/>
          <w:iCs/>
        </w:rPr>
        <w:t xml:space="preserve">proporção de pessoas que já ouviram falar do conceito de sustentabilidade</w:t>
      </w:r>
      <w:r>
        <w:t xml:space="preserve">. Para determinar o tamanho da amostra foi usada a seguinte expressão:</w:t>
      </w:r>
    </w:p>
    <w:p>
      <w:pPr>
        <w:pStyle w:val="BodyText"/>
      </w:pPr>
      <w:bookmarkStart w:id="24" w:name="eq-DimSample"/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Z</m:t>
                  </m:r>
                </m:e>
                <m:sub>
                  <m:r>
                    <m:t>α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 </m:t>
              </m:r>
              <m:r>
                <m:t>p</m:t>
              </m:r>
              <m:r>
                <m:t>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num>
            <m:den>
              <m:sSup>
                <m:e>
                  <m:r>
                    <m:t>E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4"/>
    </w:p>
    <w:p>
      <w:pPr>
        <w:pStyle w:val="FirstParagraph"/>
      </w:pPr>
      <w:r>
        <w:t xml:space="preserve">onde</w:t>
      </w:r>
    </w:p>
    <w:p>
      <w:pPr>
        <w:pStyle w:val="Compact"/>
        <w:numPr>
          <w:ilvl w:val="0"/>
          <w:numId w:val="1001"/>
        </w:numPr>
      </w:pPr>
      <m:oMath>
        <m:sSubSup>
          <m:e>
            <m:r>
              <m:t>Z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é o percentil da distribuição normal padrão com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  <m:r>
          <m:t>100</m:t>
        </m:r>
        <m:r>
          <m:rPr>
            <m:sty m:val="p"/>
          </m:rPr>
          <m:t>%</m:t>
        </m:r>
      </m:oMath>
      <w:r>
        <w:t xml:space="preserve"> </w:t>
      </w:r>
      <w:r>
        <w:t xml:space="preserve">de confiança;</w:t>
      </w:r>
    </w:p>
    <w:p>
      <w:pPr>
        <w:pStyle w:val="Compact"/>
        <w:numPr>
          <w:ilvl w:val="0"/>
          <w:numId w:val="1001"/>
        </w:numPr>
      </w:pPr>
      <m:oMath>
        <m:r>
          <m:t>p</m:t>
        </m:r>
      </m:oMath>
      <w:r>
        <w:t xml:space="preserve"> </w:t>
      </w:r>
      <w:r>
        <w:t xml:space="preserve">é a proporção estimada de estudos anteriores ou por uma amostra piloto;</w:t>
      </w:r>
    </w:p>
    <w:p>
      <w:pPr>
        <w:pStyle w:val="Compact"/>
        <w:numPr>
          <w:ilvl w:val="0"/>
          <w:numId w:val="1001"/>
        </w:numPr>
      </w:pPr>
      <m:oMath>
        <m:r>
          <m:t>E</m:t>
        </m:r>
      </m:oMath>
      <w:r>
        <w:t xml:space="preserve"> </w:t>
      </w:r>
      <w:r>
        <w:t xml:space="preserve">é margem de erro permitido para a estimativa.</w:t>
      </w:r>
    </w:p>
    <w:p>
      <w:pPr>
        <w:pStyle w:val="FirstParagraph"/>
      </w:pPr>
      <w:r>
        <w:t xml:space="preserve">Foi usado um nível de significância de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(</w:t>
      </w:r>
      <m:oMath>
        <m:r>
          <m:t>α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), obtendo o percentil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  <m:r>
              <m:rPr>
                <m:sty m:val="p"/>
              </m:rPr>
              <m:t>,</m:t>
            </m:r>
            <m:r>
              <m:t>025</m:t>
            </m:r>
          </m:sub>
        </m:sSub>
        <m:r>
          <m:rPr>
            <m:sty m:val="p"/>
          </m:rPr>
          <m:t>≃</m:t>
        </m:r>
        <m:r>
          <m:t>1</m:t>
        </m:r>
        <m:r>
          <m:rPr>
            <m:sty m:val="p"/>
          </m:rPr>
          <m:t>,</m:t>
        </m:r>
        <m:r>
          <m:t>96</m:t>
        </m:r>
      </m:oMath>
      <w:r>
        <w:t xml:space="preserve">. Como não foi encontrada referência alguma para a proporção que está sendo estudada, usou-se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5</m:t>
        </m:r>
      </m:oMath>
      <w:r>
        <w:t xml:space="preserve"> </w:t>
      </w:r>
      <w:r>
        <w:t xml:space="preserve">para obter o tamanho máximo da amostra. A margem de erro adotada foi de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, isto é,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. Para esses valores, foi obtido um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385</m:t>
        </m:r>
      </m:oMath>
      <w:r>
        <w:t xml:space="preserve">.</w:t>
      </w:r>
    </w:p>
    <w:p>
      <w:pPr>
        <w:pStyle w:val="BodyText"/>
      </w:pPr>
      <w:r>
        <w:t xml:space="preserve">A aplicação do questionário foi feita por meio da plataforma</w:t>
      </w:r>
      <w:r>
        <w:t xml:space="preserve"> </w:t>
      </w:r>
      <w:hyperlink r:id="rId25">
        <w:r>
          <w:rPr>
            <w:rStyle w:val="Hyperlink"/>
          </w:rPr>
          <w:t xml:space="preserve">Google Forms</w:t>
        </w:r>
      </w:hyperlink>
      <w:r>
        <w:t xml:space="preserve"> </w:t>
      </w:r>
      <w:r>
        <w:t xml:space="preserve">e alocação dos resultados na plataforma</w:t>
      </w:r>
      <w:r>
        <w:t xml:space="preserve"> </w:t>
      </w:r>
      <w:hyperlink r:id="rId26">
        <w:r>
          <w:rPr>
            <w:rStyle w:val="Hyperlink"/>
          </w:rPr>
          <w:t xml:space="preserve">Google Sheets</w:t>
        </w:r>
      </w:hyperlink>
      <w:r>
        <w:t xml:space="preserve">. O questionário ficou com um total de 18 perguntas dividas em 4 subseções.</w:t>
      </w:r>
    </w:p>
    <w:bookmarkEnd w:id="27"/>
    <w:bookmarkStart w:id="29" w:name="software-utilizado"/>
    <w:p>
      <w:pPr>
        <w:pStyle w:val="Heading2"/>
      </w:pPr>
      <w:r>
        <w:t xml:space="preserve">2.2 Software Utilizado</w:t>
      </w:r>
    </w:p>
    <w:p>
      <w:pPr>
        <w:pStyle w:val="FirstParagraph"/>
      </w:pPr>
      <w:r>
        <w:t xml:space="preserve">Para conduzir as análises e estimativas neste estudo, foi utilizada a linguagem de programação Python, empregando a IDE</w:t>
      </w:r>
      <w:r>
        <w:t xml:space="preserve"> </w:t>
      </w:r>
      <w:hyperlink r:id="rId28">
        <w:r>
          <w:rPr>
            <w:rStyle w:val="Hyperlink"/>
          </w:rPr>
          <w:t xml:space="preserve">Google Colaboratory</w:t>
        </w:r>
      </w:hyperlink>
      <w:r>
        <w:t xml:space="preserve">. As seguintes bibliotecas foram utilizadas nas diversas etapas do processo: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Numpy:</w:t>
      </w:r>
      <w:r>
        <w:t xml:space="preserve"> </w:t>
      </w:r>
      <w:r>
        <w:t xml:space="preserve">Para operações matemáticas, lógicas e estatísticas eficientes em vetores multidimensionais ou matrizes</w:t>
      </w:r>
      <w:r>
        <w:t xml:space="preserve"> </w:t>
      </w:r>
      <w:r>
        <w:t xml:space="preserve">(Harris et al. 2020)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Pandas:</w:t>
      </w:r>
      <w:r>
        <w:t xml:space="preserve"> </w:t>
      </w:r>
      <w:r>
        <w:t xml:space="preserve">Para manipulação e análise de dados, oferecendo estruturas de dados flexíveis e poderosas</w:t>
      </w:r>
      <w:r>
        <w:t xml:space="preserve"> </w:t>
      </w:r>
      <w:r>
        <w:t xml:space="preserve">(McKinney 2010)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Matplotlib:</w:t>
      </w:r>
      <w:r>
        <w:t xml:space="preserve"> </w:t>
      </w:r>
      <w:r>
        <w:t xml:space="preserve">Para criação de visualizações gráficas</w:t>
      </w:r>
      <w:r>
        <w:t xml:space="preserve"> </w:t>
      </w:r>
      <w:r>
        <w:t xml:space="preserve">(Hunter 2007)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Seaborn:</w:t>
      </w:r>
      <w:r>
        <w:t xml:space="preserve"> </w:t>
      </w:r>
      <w:r>
        <w:t xml:space="preserve">Complementar ao Matplotlib, oferece uma interface de alto nível para criação de gráficos estatísticos atrativos e informativos</w:t>
      </w:r>
      <w:r>
        <w:t xml:space="preserve"> </w:t>
      </w:r>
      <w:r>
        <w:t xml:space="preserve">(Waskom 2021)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Scipy:</w:t>
      </w:r>
      <w:r>
        <w:t xml:space="preserve"> </w:t>
      </w:r>
      <w:r>
        <w:t xml:space="preserve">Para cálculos científicos e técnicos</w:t>
      </w:r>
      <w:r>
        <w:t xml:space="preserve"> </w:t>
      </w:r>
      <w:r>
        <w:t xml:space="preserve">(Virtanen et al. 2020)</w:t>
      </w:r>
      <w:r>
        <w:t xml:space="preserve">.</w:t>
      </w:r>
    </w:p>
    <w:bookmarkEnd w:id="29"/>
    <w:bookmarkStart w:id="30" w:name="metodologia"/>
    <w:p>
      <w:pPr>
        <w:pStyle w:val="Heading2"/>
      </w:pPr>
      <w:r>
        <w:t xml:space="preserve">2.3 Metodologia</w:t>
      </w:r>
    </w:p>
    <w:bookmarkEnd w:id="30"/>
    <w:bookmarkEnd w:id="31"/>
    <w:bookmarkStart w:id="32" w:name="resultados-e-discurssões"/>
    <w:p>
      <w:pPr>
        <w:pStyle w:val="Heading1"/>
      </w:pPr>
      <w:r>
        <w:t xml:space="preserve">3. Resultados e Discurssões</w:t>
      </w:r>
    </w:p>
    <w:bookmarkEnd w:id="32"/>
    <w:bookmarkStart w:id="33" w:name="conclusão"/>
    <w:p>
      <w:pPr>
        <w:pStyle w:val="Heading1"/>
      </w:pPr>
      <w:r>
        <w:t xml:space="preserve">4. Conclusão</w:t>
      </w:r>
    </w:p>
    <w:bookmarkEnd w:id="33"/>
    <w:bookmarkStart w:id="45" w:name="referências"/>
    <w:p>
      <w:pPr>
        <w:pStyle w:val="Heading1"/>
      </w:pPr>
      <w:r>
        <w:t xml:space="preserve">5. Referências</w:t>
      </w:r>
    </w:p>
    <w:bookmarkStart w:id="44" w:name="refs"/>
    <w:bookmarkStart w:id="35" w:name="ref-numpy"/>
    <w:p>
      <w:pPr>
        <w:pStyle w:val="Bibliography"/>
      </w:pPr>
      <w:r>
        <w:t xml:space="preserve">Harris, Charles R., K. Jarrod Millman, Stéfan J. van der Walt, Ralf Gommers, Pauli Virtanen, David Cournapeau, Eric Wieser, et al. 2020.</w:t>
      </w:r>
      <w:r>
        <w:t xml:space="preserve"> </w:t>
      </w:r>
      <w:r>
        <w:t xml:space="preserve">«Array programming with</w:t>
      </w:r>
      <w:r>
        <w:t xml:space="preserve"> </w:t>
      </w:r>
      <w:r>
        <w:t xml:space="preserve">NumPy</w:t>
      </w:r>
      <w:r>
        <w:t xml:space="preserve">»</w:t>
      </w:r>
      <w:r>
        <w:t xml:space="preserve">.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t xml:space="preserve">585 (7825): 357–62.</w:t>
      </w:r>
      <w:r>
        <w:t xml:space="preserve"> </w:t>
      </w:r>
      <w:hyperlink r:id="rId34">
        <w:r>
          <w:rPr>
            <w:rStyle w:val="Hyperlink"/>
          </w:rPr>
          <w:t xml:space="preserve">https://doi.org/10.1038/s41586-020-2649-2</w:t>
        </w:r>
      </w:hyperlink>
      <w:r>
        <w:t xml:space="preserve">.</w:t>
      </w:r>
    </w:p>
    <w:bookmarkEnd w:id="35"/>
    <w:bookmarkStart w:id="37" w:name="ref-matplotlib"/>
    <w:p>
      <w:pPr>
        <w:pStyle w:val="Bibliography"/>
      </w:pPr>
      <w:r>
        <w:t xml:space="preserve">Hunter, J. D. 2007.</w:t>
      </w:r>
      <w:r>
        <w:t xml:space="preserve"> </w:t>
      </w:r>
      <w:r>
        <w:t xml:space="preserve">«Matplotlib: A 2D graphics environment»</w:t>
      </w:r>
      <w:r>
        <w:t xml:space="preserve">.</w:t>
      </w:r>
      <w:r>
        <w:t xml:space="preserve"> </w:t>
      </w:r>
      <w:r>
        <w:rPr>
          <w:i/>
          <w:iCs/>
        </w:rPr>
        <w:t xml:space="preserve">Computing in Science &amp; Engineering</w:t>
      </w:r>
      <w:r>
        <w:t xml:space="preserve"> </w:t>
      </w:r>
      <w:r>
        <w:t xml:space="preserve">9 (3): 90–95.</w:t>
      </w:r>
      <w:r>
        <w:t xml:space="preserve"> </w:t>
      </w:r>
      <w:hyperlink r:id="rId36">
        <w:r>
          <w:rPr>
            <w:rStyle w:val="Hyperlink"/>
          </w:rPr>
          <w:t xml:space="preserve">https://doi.org/10.1109/MCSE.2007.55</w:t>
        </w:r>
      </w:hyperlink>
      <w:r>
        <w:t xml:space="preserve">.</w:t>
      </w:r>
    </w:p>
    <w:bookmarkEnd w:id="37"/>
    <w:bookmarkStart w:id="39" w:name="ref-pandas"/>
    <w:p>
      <w:pPr>
        <w:pStyle w:val="Bibliography"/>
      </w:pPr>
      <w:r>
        <w:t xml:space="preserve">McKinney, Wes. 2010.</w:t>
      </w:r>
      <w:r>
        <w:t xml:space="preserve"> </w:t>
      </w:r>
      <w:r>
        <w:t xml:space="preserve">«</w:t>
      </w:r>
      <w:r>
        <w:t xml:space="preserve">D</w:t>
      </w:r>
      <w:r>
        <w:t xml:space="preserve">ata</w:t>
      </w:r>
      <w:r>
        <w:t xml:space="preserve"> </w:t>
      </w:r>
      <w:r>
        <w:t xml:space="preserve">S</w:t>
      </w:r>
      <w:r>
        <w:t xml:space="preserve">tructures for</w:t>
      </w:r>
      <w:r>
        <w:t xml:space="preserve"> </w:t>
      </w:r>
      <w:r>
        <w:t xml:space="preserve">S</w:t>
      </w:r>
      <w:r>
        <w:t xml:space="preserve">tatistical</w:t>
      </w:r>
      <w:r>
        <w:t xml:space="preserve"> </w:t>
      </w:r>
      <w:r>
        <w:t xml:space="preserve">C</w:t>
      </w:r>
      <w:r>
        <w:t xml:space="preserve">omputing in</w:t>
      </w:r>
      <w:r>
        <w:t xml:space="preserve"> </w:t>
      </w:r>
      <w:r>
        <w:t xml:space="preserve">P</w:t>
      </w:r>
      <w:r>
        <w:t xml:space="preserve">ython»</w:t>
      </w:r>
      <w:r>
        <w:t xml:space="preserve">. Em</w:t>
      </w:r>
      <w:r>
        <w:t xml:space="preserve"> </w:t>
      </w:r>
      <w:r>
        <w:rPr>
          <w:i/>
          <w:iCs/>
        </w:rPr>
        <w:t xml:space="preserve">P</w:t>
      </w:r>
      <w:r>
        <w:rPr>
          <w:i/>
          <w:iCs/>
        </w:rPr>
        <w:t xml:space="preserve">roceedings of the 9th</w:t>
      </w:r>
      <w:r>
        <w:rPr>
          <w:i/>
          <w:iCs/>
        </w:rPr>
        <w:t xml:space="preserve"> </w:t>
      </w:r>
      <w:r>
        <w:rPr>
          <w:i/>
          <w:iCs/>
        </w:rPr>
        <w:t xml:space="preserve">P</w:t>
      </w:r>
      <w:r>
        <w:rPr>
          <w:i/>
          <w:iCs/>
        </w:rPr>
        <w:t xml:space="preserve">ython in</w:t>
      </w:r>
      <w:r>
        <w:rPr>
          <w:i/>
          <w:iCs/>
        </w:rPr>
        <w:t xml:space="preserve"> </w:t>
      </w:r>
      <w:r>
        <w:rPr>
          <w:i/>
          <w:iCs/>
        </w:rPr>
        <w:t xml:space="preserve">S</w:t>
      </w:r>
      <w:r>
        <w:rPr>
          <w:i/>
          <w:iCs/>
        </w:rPr>
        <w:t xml:space="preserve">cience</w:t>
      </w:r>
      <w:r>
        <w:rPr>
          <w:i/>
          <w:iCs/>
        </w:rPr>
        <w:t xml:space="preserve"> </w:t>
      </w:r>
      <w:r>
        <w:rPr>
          <w:i/>
          <w:iCs/>
        </w:rPr>
        <w:t xml:space="preserve">C</w:t>
      </w:r>
      <w:r>
        <w:rPr>
          <w:i/>
          <w:iCs/>
        </w:rPr>
        <w:t xml:space="preserve">onference</w:t>
      </w:r>
      <w:r>
        <w:t xml:space="preserve">, editado por Stéfan van der Walt e Jarrod Millman, 56–61.</w:t>
      </w:r>
      <w:r>
        <w:t xml:space="preserve"> </w:t>
      </w:r>
      <w:hyperlink r:id="rId38">
        <w:r>
          <w:rPr>
            <w:rStyle w:val="Hyperlink"/>
          </w:rPr>
          <w:t xml:space="preserve">https://doi.org/ 10.25080/Majora-92bf1922-00a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bookmarkEnd w:id="39"/>
    <w:bookmarkStart w:id="41" w:name="ref-scipy"/>
    <w:p>
      <w:pPr>
        <w:pStyle w:val="Bibliography"/>
      </w:pPr>
      <w:r>
        <w:t xml:space="preserve">Virtanen, Pauli, Ralf Gommers, Travis E. Oliphant, Matt Haberland, Tyler Reddy, David Cournapeau, Evgeni Burovski, et al. 2020.</w:t>
      </w:r>
      <w:r>
        <w:t xml:space="preserve"> </w:t>
      </w:r>
      <w:r>
        <w:t xml:space="preserve">«</w:t>
      </w:r>
      <w:r>
        <w:t xml:space="preserve">SciPy</w:t>
      </w:r>
      <w:r>
        <w:t xml:space="preserve"> </w:t>
      </w:r>
      <w:r>
        <w:t xml:space="preserve">1.0: Fundamental Algorithms for Scientific Computing in Python</w:t>
      </w:r>
      <w:r>
        <w:t xml:space="preserve">»</w:t>
      </w:r>
      <w:r>
        <w:t xml:space="preserve">.</w:t>
      </w:r>
      <w:r>
        <w:t xml:space="preserve"> </w:t>
      </w:r>
      <w:r>
        <w:rPr>
          <w:i/>
          <w:iCs/>
        </w:rPr>
        <w:t xml:space="preserve">Nature Methods</w:t>
      </w:r>
      <w:r>
        <w:t xml:space="preserve"> </w:t>
      </w:r>
      <w:r>
        <w:t xml:space="preserve">17: 261–72.</w:t>
      </w:r>
      <w:r>
        <w:t xml:space="preserve"> </w:t>
      </w:r>
      <w:hyperlink r:id="rId40">
        <w:r>
          <w:rPr>
            <w:rStyle w:val="Hyperlink"/>
          </w:rPr>
          <w:t xml:space="preserve">https://doi.org/10.1038/s41592-019-0686-2</w:t>
        </w:r>
      </w:hyperlink>
      <w:r>
        <w:t xml:space="preserve">.</w:t>
      </w:r>
    </w:p>
    <w:bookmarkEnd w:id="41"/>
    <w:bookmarkStart w:id="43" w:name="ref-seaborn"/>
    <w:p>
      <w:pPr>
        <w:pStyle w:val="Bibliography"/>
      </w:pPr>
      <w:r>
        <w:t xml:space="preserve">Waskom, Michael L. 2021.</w:t>
      </w:r>
      <w:r>
        <w:t xml:space="preserve"> </w:t>
      </w:r>
      <w:r>
        <w:t xml:space="preserve">«seaborn: statistical data visualization»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Open Source Software</w:t>
      </w:r>
      <w:r>
        <w:t xml:space="preserve"> </w:t>
      </w:r>
      <w:r>
        <w:t xml:space="preserve">6 (60): 3021.</w:t>
      </w:r>
      <w:r>
        <w:t xml:space="preserve"> </w:t>
      </w:r>
      <w:hyperlink r:id="rId42">
        <w:r>
          <w:rPr>
            <w:rStyle w:val="Hyperlink"/>
          </w:rPr>
          <w:t xml:space="preserve">https://doi.org/10.21105/joss.03021</w:t>
        </w:r>
      </w:hyperlink>
      <w:r>
        <w:t xml:space="preserve">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colab.research.google.com/" TargetMode="External" /><Relationship Type="http://schemas.openxmlformats.org/officeDocument/2006/relationships/hyperlink" Id="rId25" Target="https://docs.google.com/forms/u/0/" TargetMode="External" /><Relationship Type="http://schemas.openxmlformats.org/officeDocument/2006/relationships/hyperlink" Id="rId26" Target="https://docs.google.com/spreadsheets/u/0/" TargetMode="External" /><Relationship Type="http://schemas.openxmlformats.org/officeDocument/2006/relationships/hyperlink" Id="rId38" Target="https://doi.org/ 10.25080/Majora-92bf1922-00a " TargetMode="External" /><Relationship Type="http://schemas.openxmlformats.org/officeDocument/2006/relationships/hyperlink" Id="rId34" Target="https://doi.org/10.1038/s41586-020-2649-2" TargetMode="External" /><Relationship Type="http://schemas.openxmlformats.org/officeDocument/2006/relationships/hyperlink" Id="rId40" Target="https://doi.org/10.1038/s41592-019-0686-2" TargetMode="External" /><Relationship Type="http://schemas.openxmlformats.org/officeDocument/2006/relationships/hyperlink" Id="rId36" Target="https://doi.org/10.1109/MCSE.2007.55" TargetMode="External" /><Relationship Type="http://schemas.openxmlformats.org/officeDocument/2006/relationships/hyperlink" Id="rId42" Target="https://doi.org/10.21105/joss.030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colab.research.google.com/" TargetMode="External" /><Relationship Type="http://schemas.openxmlformats.org/officeDocument/2006/relationships/hyperlink" Id="rId25" Target="https://docs.google.com/forms/u/0/" TargetMode="External" /><Relationship Type="http://schemas.openxmlformats.org/officeDocument/2006/relationships/hyperlink" Id="rId26" Target="https://docs.google.com/spreadsheets/u/0/" TargetMode="External" /><Relationship Type="http://schemas.openxmlformats.org/officeDocument/2006/relationships/hyperlink" Id="rId38" Target="https://doi.org/ 10.25080/Majora-92bf1922-00a " TargetMode="External" /><Relationship Type="http://schemas.openxmlformats.org/officeDocument/2006/relationships/hyperlink" Id="rId34" Target="https://doi.org/10.1038/s41586-020-2649-2" TargetMode="External" /><Relationship Type="http://schemas.openxmlformats.org/officeDocument/2006/relationships/hyperlink" Id="rId40" Target="https://doi.org/10.1038/s41592-019-0686-2" TargetMode="External" /><Relationship Type="http://schemas.openxmlformats.org/officeDocument/2006/relationships/hyperlink" Id="rId36" Target="https://doi.org/10.1109/MCSE.2007.55" TargetMode="External" /><Relationship Type="http://schemas.openxmlformats.org/officeDocument/2006/relationships/hyperlink" Id="rId42" Target="https://doi.org/10.21105/joss.030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 Estudo Descritivo sobre a Conscientização Ambiental</dc:title>
  <dc:creator>João Vitor Costa Pinheiro; Breno Cauã Rodrigues da Silva</dc:creator>
  <dc:language>pt</dc:language>
  <cp:keywords/>
  <dcterms:created xsi:type="dcterms:W3CDTF">2025-03-14T23:09:13Z</dcterms:created>
  <dcterms:modified xsi:type="dcterms:W3CDTF">2025-03-14T23:09:13Z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Índice</vt:lpwstr>
  </property>
</Properties>
</file>