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Times New Roman" w:cs="Times New Roman" w:eastAsia="Times New Roman" w:hAnsi="Times New Roman"/>
          <w:b/>
          <w:bCs/>
          <w:sz w:val="32"/>
          <w:szCs w:val="32"/>
        </w:rPr>
        <w:t xml:space="preserve">Reference List — Sea Level Rise Impact Analysis · Coastal Portugal</w:t>
      </w:r>
    </w:p>
    <w:p>
      <w:pPr>
        <w:spacing w:after="80" w:before="0" w:line="360"/>
        <w:jc w:val="center"/>
      </w:pPr>
      <w:r>
        <w:rPr>
          <w:rFonts w:ascii="Times New Roman" w:cs="Times New Roman" w:eastAsia="Times New Roman" w:hAnsi="Times New Roman"/>
          <w:i/>
          <w:iCs/>
          <w:sz w:val="24"/>
          <w:szCs w:val="24"/>
        </w:rPr>
        <w:t xml:space="preserve">MBA Data Science Capstone | APA 7th Edition</w:t>
      </w:r>
    </w:p>
    <w:p>
      <w:pPr>
        <w:spacing w:after="400" w:before="0" w:line="360"/>
        <w:jc w:val="center"/>
      </w:pPr>
      <w:r>
        <w:rPr>
          <w:rFonts w:ascii="Times New Roman" w:cs="Times New Roman" w:eastAsia="Times New Roman" w:hAnsi="Times New Roman"/>
          <w:sz w:val="20"/>
          <w:szCs w:val="20"/>
        </w:rPr>
        <w:t xml:space="preserve">Generated: 2026-05-02 | Status legend: ✅ Confirmed  ⚠ Needs verification  🔍 Located — check full citation</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1. Sea Level Rise Projections</w:t>
      </w:r>
    </w:p>
    <w:p>
      <w:pPr>
        <w:spacing w:after="40" w:before="240" w:line="360"/>
      </w:pPr>
      <w:r>
        <w:rPr>
          <w:rFonts w:ascii="Times New Roman" w:cs="Times New Roman" w:eastAsia="Times New Roman" w:hAnsi="Times New Roman"/>
          <w:b/>
          <w:bCs/>
          <w:sz w:val="24"/>
          <w:szCs w:val="24"/>
        </w:rPr>
        <w:t xml:space="preserve">[REF-01] ✅</w:t>
      </w:r>
    </w:p>
    <w:p>
      <w:pPr>
        <w:spacing w:after="60" w:before="0" w:line="360"/>
        <w:ind w:left="720" w:hanging="720"/>
        <w:jc w:val="both"/>
      </w:pPr>
      <w:r>
        <w:rPr>
          <w:rFonts w:ascii="Times New Roman" w:cs="Times New Roman" w:eastAsia="Times New Roman" w:hAnsi="Times New Roman"/>
          <w:sz w:val="24"/>
          <w:szCs w:val="24"/>
        </w:rPr>
        <w:t xml:space="preserve">Fox-Kemper, B., Hewitt, H. T., Xiao, C., Aðalgeirsdóttir, G., Drijfhout, S. S., Edwards, T. L., Golledge, N. R., Hemer, M., Kopp, R. E., Krinner, G., Mix, A., Notz, D., Nowicki, S., Nurhati, I. S., Ruiz, L., Sallée, J.-B., Slangen, A. B. A., &amp; Yu, Y. (2021). Ocean, cryosphere and sea level change. In V. Masson-Delmotte et al. (Eds.), </w:t>
      </w:r>
      <w:r>
        <w:rPr>
          <w:rFonts w:ascii="Times New Roman" w:cs="Times New Roman" w:eastAsia="Times New Roman" w:hAnsi="Times New Roman"/>
          <w:i/>
          <w:iCs/>
          <w:sz w:val="24"/>
          <w:szCs w:val="24"/>
        </w:rPr>
        <w:t xml:space="preserve">Climate Change 2021: The Physical Science Basis. Contribution of Working Group I to the Sixth Assessment Report of the Intergovernmental Panel on Climate Change</w:t>
      </w:r>
      <w:r>
        <w:rPr>
          <w:rFonts w:ascii="Times New Roman" w:cs="Times New Roman" w:eastAsia="Times New Roman" w:hAnsi="Times New Roman"/>
          <w:sz w:val="24"/>
          <w:szCs w:val="24"/>
        </w:rPr>
        <w:t xml:space="preserve"> (Chapter 9). Cambridge University Press. https://doi.org/10.1017/9781009157896.011</w:t>
      </w:r>
    </w:p>
    <w:p>
      <w:pPr>
        <w:spacing w:after="200" w:before="0" w:line="280"/>
        <w:ind w:left="720"/>
      </w:pPr>
      <w:r>
        <w:rPr>
          <w:rFonts w:ascii="Times New Roman" w:cs="Times New Roman" w:eastAsia="Times New Roman" w:hAnsi="Times New Roman"/>
          <w:i/>
          <w:iCs/>
          <w:color w:val="555555"/>
          <w:sz w:val="20"/>
          <w:szCs w:val="20"/>
        </w:rPr>
        <w:t xml:space="preserve">Note: IPCC AR6 WG1 Ch. 9 — core SLR scenario anchor values (SSP1-2.6, SSP2-4.5, SSP5-8.5). Used in all scripts.</w:t>
      </w:r>
    </w:p>
    <w:p>
      <w:pPr>
        <w:spacing w:after="40" w:before="240" w:line="360"/>
      </w:pPr>
      <w:r>
        <w:rPr>
          <w:rFonts w:ascii="Times New Roman" w:cs="Times New Roman" w:eastAsia="Times New Roman" w:hAnsi="Times New Roman"/>
          <w:b/>
          <w:bCs/>
          <w:sz w:val="24"/>
          <w:szCs w:val="24"/>
        </w:rPr>
        <w:t xml:space="preserve">[REF-02] ✅</w:t>
      </w:r>
    </w:p>
    <w:p>
      <w:pPr>
        <w:spacing w:after="60" w:before="0" w:line="360"/>
        <w:ind w:left="720" w:hanging="720"/>
        <w:jc w:val="both"/>
      </w:pPr>
      <w:r>
        <w:rPr>
          <w:rFonts w:ascii="Times New Roman" w:cs="Times New Roman" w:eastAsia="Times New Roman" w:hAnsi="Times New Roman"/>
          <w:sz w:val="24"/>
          <w:szCs w:val="24"/>
        </w:rPr>
        <w:t xml:space="preserve">Seeger, K., &amp; Minderhoud, P. S. J. (2026). Sea level much higher than assumed in most coastal hazard assessments.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652</w:t>
      </w:r>
      <w:r>
        <w:rPr>
          <w:rFonts w:ascii="Times New Roman" w:cs="Times New Roman" w:eastAsia="Times New Roman" w:hAnsi="Times New Roman"/>
          <w:sz w:val="24"/>
          <w:szCs w:val="24"/>
        </w:rPr>
        <w:t xml:space="preserve">, 667–674. https://doi.org/10.1038/s41586-026-10196-1</w:t>
      </w:r>
    </w:p>
    <w:p>
      <w:pPr>
        <w:spacing w:after="200" w:before="0" w:line="280"/>
        <w:ind w:left="720"/>
      </w:pPr>
      <w:r>
        <w:rPr>
          <w:rFonts w:ascii="Times New Roman" w:cs="Times New Roman" w:eastAsia="Times New Roman" w:hAnsi="Times New Roman"/>
          <w:i/>
          <w:iCs/>
          <w:color w:val="555555"/>
          <w:sz w:val="20"/>
          <w:szCs w:val="20"/>
        </w:rPr>
        <w:t xml:space="preserve">Note: Geoid offset +0.15 m EU Atlantic coast — conservative lower bound of documented range (0.24–0.27 m). Author order: Seeger &amp; Minderhoud (corrected). Underpins the +Geoid sensitivity variant across all three pillars.</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2. Flood Modelling Methodology</w:t>
      </w:r>
    </w:p>
    <w:p>
      <w:pPr>
        <w:spacing w:after="40" w:before="240" w:line="360"/>
      </w:pPr>
      <w:r>
        <w:rPr>
          <w:rFonts w:ascii="Times New Roman" w:cs="Times New Roman" w:eastAsia="Times New Roman" w:hAnsi="Times New Roman"/>
          <w:b/>
          <w:bCs/>
          <w:sz w:val="24"/>
          <w:szCs w:val="24"/>
        </w:rPr>
        <w:t xml:space="preserve">[REF-03] ✅</w:t>
      </w:r>
    </w:p>
    <w:p>
      <w:pPr>
        <w:spacing w:after="60" w:before="0" w:line="360"/>
        <w:ind w:left="720" w:hanging="720"/>
        <w:jc w:val="both"/>
      </w:pPr>
      <w:r>
        <w:rPr>
          <w:rFonts w:ascii="Times New Roman" w:cs="Times New Roman" w:eastAsia="Times New Roman" w:hAnsi="Times New Roman"/>
          <w:sz w:val="24"/>
          <w:szCs w:val="24"/>
        </w:rPr>
        <w:t xml:space="preserve">Moftakhari, H. R., Salvadori, G., AghaKouchak, A., Sanders, B. F., &amp; Matthew, R. A. (2017). Compounding effects of sea level rise and fluvial flooding. </w:t>
      </w:r>
      <w:r>
        <w:rPr>
          <w:rFonts w:ascii="Times New Roman" w:cs="Times New Roman" w:eastAsia="Times New Roman" w:hAnsi="Times New Roman"/>
          <w:i/>
          <w:iCs/>
          <w:sz w:val="24"/>
          <w:szCs w:val="24"/>
        </w:rPr>
        <w:t xml:space="preserve">Proceedings of the National Academy of Sciences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114</w:t>
      </w:r>
      <w:r>
        <w:rPr>
          <w:rFonts w:ascii="Times New Roman" w:cs="Times New Roman" w:eastAsia="Times New Roman" w:hAnsi="Times New Roman"/>
          <w:sz w:val="24"/>
          <w:szCs w:val="24"/>
        </w:rPr>
        <w:t xml:space="preserve">(37), 9785–9790. https://doi.org/10.1073/pnas.1620325114</w:t>
      </w:r>
    </w:p>
    <w:p>
      <w:pPr>
        <w:spacing w:after="200" w:before="0" w:line="280"/>
        <w:ind w:left="720"/>
      </w:pPr>
      <w:r>
        <w:rPr>
          <w:rFonts w:ascii="Times New Roman" w:cs="Times New Roman" w:eastAsia="Times New Roman" w:hAnsi="Times New Roman"/>
          <w:i/>
          <w:iCs/>
          <w:color w:val="555555"/>
          <w:sz w:val="20"/>
          <w:szCs w:val="20"/>
        </w:rPr>
        <w:t xml:space="preserve">Note: Cited for the compound flood probability framework. NB: the paper uses a copula-based bivariate probability approach; the exponential scaling formula RP(SLR) = RP₀ × exp(−k × SLR) used in this study is the simplified operational implementation of that framework, not a formula directly extracted from this paper. The citation is to the conceptual framework.</w:t>
      </w:r>
    </w:p>
    <w:p>
      <w:pPr>
        <w:spacing w:after="40" w:before="240" w:line="360"/>
      </w:pPr>
      <w:r>
        <w:rPr>
          <w:rFonts w:ascii="Times New Roman" w:cs="Times New Roman" w:eastAsia="Times New Roman" w:hAnsi="Times New Roman"/>
          <w:b/>
          <w:bCs/>
          <w:sz w:val="24"/>
          <w:szCs w:val="24"/>
        </w:rPr>
        <w:t xml:space="preserve">[REF-04] ✅</w:t>
      </w:r>
    </w:p>
    <w:p>
      <w:pPr>
        <w:spacing w:after="60" w:before="0" w:line="360"/>
        <w:ind w:left="720" w:hanging="720"/>
        <w:jc w:val="both"/>
      </w:pPr>
      <w:r>
        <w:rPr>
          <w:rFonts w:ascii="Times New Roman" w:cs="Times New Roman" w:eastAsia="Times New Roman" w:hAnsi="Times New Roman"/>
          <w:sz w:val="24"/>
          <w:szCs w:val="24"/>
        </w:rPr>
        <w:t xml:space="preserve">Poulter, B., &amp; Halpin, P. N. (2008). Raster modelling of coastal flooding from sea-level rise. </w:t>
      </w:r>
      <w:r>
        <w:rPr>
          <w:rFonts w:ascii="Times New Roman" w:cs="Times New Roman" w:eastAsia="Times New Roman" w:hAnsi="Times New Roman"/>
          <w:i/>
          <w:iCs/>
          <w:sz w:val="24"/>
          <w:szCs w:val="24"/>
        </w:rPr>
        <w:t xml:space="preserve">International Journal of Geographical Information Science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22</w:t>
      </w:r>
      <w:r>
        <w:rPr>
          <w:rFonts w:ascii="Times New Roman" w:cs="Times New Roman" w:eastAsia="Times New Roman" w:hAnsi="Times New Roman"/>
          <w:sz w:val="24"/>
          <w:szCs w:val="24"/>
        </w:rPr>
        <w:t xml:space="preserve">(2), 167–182. https://doi.org/10.1080/13658810701371858</w:t>
      </w:r>
    </w:p>
    <w:p>
      <w:pPr>
        <w:spacing w:after="200" w:before="0" w:line="280"/>
        <w:ind w:left="720"/>
      </w:pPr>
      <w:r>
        <w:rPr>
          <w:rFonts w:ascii="Times New Roman" w:cs="Times New Roman" w:eastAsia="Times New Roman" w:hAnsi="Times New Roman"/>
          <w:i/>
          <w:iCs/>
          <w:color w:val="555555"/>
          <w:sz w:val="20"/>
          <w:szCs w:val="20"/>
        </w:rPr>
        <w:t xml:space="preserve">Note: Confirmed. Taylor &amp; Francis / Duke confirm: IJGIS 22(2), 167–182, DOI 10.1080/13658810701371858. Cited in Frontiers best-practices review for connectivity-constrained bathtub modelling.</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3. Tejo (Tagus) Estuary</w:t>
      </w:r>
    </w:p>
    <w:p>
      <w:pPr>
        <w:spacing w:after="40" w:before="240" w:line="360"/>
      </w:pPr>
      <w:r>
        <w:rPr>
          <w:rFonts w:ascii="Times New Roman" w:cs="Times New Roman" w:eastAsia="Times New Roman" w:hAnsi="Times New Roman"/>
          <w:b/>
          <w:bCs/>
          <w:sz w:val="24"/>
          <w:szCs w:val="24"/>
        </w:rPr>
        <w:t xml:space="preserve">[REF-05] ✅</w:t>
      </w:r>
    </w:p>
    <w:p>
      <w:pPr>
        <w:spacing w:after="60" w:before="0" w:line="360"/>
        <w:ind w:left="720" w:hanging="720"/>
        <w:jc w:val="both"/>
      </w:pPr>
      <w:r>
        <w:rPr>
          <w:rFonts w:ascii="Times New Roman" w:cs="Times New Roman" w:eastAsia="Times New Roman" w:hAnsi="Times New Roman"/>
          <w:sz w:val="24"/>
          <w:szCs w:val="24"/>
        </w:rPr>
        <w:t xml:space="preserve">Guerreiro, M., Fortunato, A. B., Freire, P., Rilo, A., Taborda, R., Freitas, M. C., Andrade, C., Silva, T., Rodrigues, M., Bertin, X., &amp; Azevedo, A. (2015). Evolution of the hydrodynamics of the Tagus estuary (Portugal) in the 21st century. </w:t>
      </w:r>
      <w:r>
        <w:rPr>
          <w:rFonts w:ascii="Times New Roman" w:cs="Times New Roman" w:eastAsia="Times New Roman" w:hAnsi="Times New Roman"/>
          <w:i/>
          <w:iCs/>
          <w:sz w:val="24"/>
          <w:szCs w:val="24"/>
        </w:rPr>
        <w:t xml:space="preserve">Revista de Gestão Costeira Integrada / Journal of Integrated Coastal Zone Management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15</w:t>
      </w:r>
      <w:r>
        <w:rPr>
          <w:rFonts w:ascii="Times New Roman" w:cs="Times New Roman" w:eastAsia="Times New Roman" w:hAnsi="Times New Roman"/>
          <w:sz w:val="24"/>
          <w:szCs w:val="24"/>
        </w:rPr>
        <w:t xml:space="preserve">(1), 65–80. https://doi.org/10.5894/rgci515</w:t>
      </w:r>
    </w:p>
    <w:p>
      <w:pPr>
        <w:spacing w:after="200" w:before="0" w:line="280"/>
        <w:ind w:left="720"/>
      </w:pPr>
      <w:r>
        <w:rPr>
          <w:rFonts w:ascii="Times New Roman" w:cs="Times New Roman" w:eastAsia="Times New Roman" w:hAnsi="Times New Roman"/>
          <w:i/>
          <w:iCs/>
          <w:color w:val="555555"/>
          <w:sz w:val="20"/>
          <w:szCs w:val="20"/>
        </w:rPr>
        <w:t xml:space="preserve">Note: Confirmed. Provides context for Tagus hydrodynamic and SLR exposure. ~50 citations. Used in Python script docstrings (10b_tagus_floodplain.py, 11c_a1_motorway.py).</w:t>
      </w:r>
    </w:p>
    <w:p>
      <w:pPr>
        <w:spacing w:after="40" w:before="240" w:line="360"/>
      </w:pPr>
      <w:r>
        <w:rPr>
          <w:rFonts w:ascii="Times New Roman" w:cs="Times New Roman" w:eastAsia="Times New Roman" w:hAnsi="Times New Roman"/>
          <w:b/>
          <w:bCs/>
          <w:sz w:val="24"/>
          <w:szCs w:val="24"/>
        </w:rPr>
        <w:t xml:space="preserve">[REF-06] ✅</w:t>
      </w:r>
    </w:p>
    <w:p>
      <w:pPr>
        <w:spacing w:after="60" w:before="0" w:line="360"/>
        <w:ind w:left="720" w:hanging="720"/>
        <w:jc w:val="both"/>
      </w:pPr>
      <w:r>
        <w:rPr>
          <w:rFonts w:ascii="Times New Roman" w:cs="Times New Roman" w:eastAsia="Times New Roman" w:hAnsi="Times New Roman"/>
          <w:sz w:val="24"/>
          <w:szCs w:val="24"/>
        </w:rPr>
        <w:t xml:space="preserve">Trigo, R. M., Ramos, C., Pereira, S. S., Ramos, A. M., Zêzere, J. L., &amp; Liberato, M. L. R. (2016). The deadliest storm of the 20th century striking Portugal: Flood impacts and atmospheric circulation. </w:t>
      </w:r>
      <w:r>
        <w:rPr>
          <w:rFonts w:ascii="Times New Roman" w:cs="Times New Roman" w:eastAsia="Times New Roman" w:hAnsi="Times New Roman"/>
          <w:i/>
          <w:iCs/>
          <w:sz w:val="24"/>
          <w:szCs w:val="24"/>
        </w:rPr>
        <w:t xml:space="preserve">Journal of Hydrology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541</w:t>
      </w:r>
      <w:r>
        <w:rPr>
          <w:rFonts w:ascii="Times New Roman" w:cs="Times New Roman" w:eastAsia="Times New Roman" w:hAnsi="Times New Roman"/>
          <w:sz w:val="24"/>
          <w:szCs w:val="24"/>
        </w:rPr>
        <w:t xml:space="preserve">, 597–610. https://doi.org/10.1016/j.jhydrol.2015.10.036</w:t>
      </w:r>
    </w:p>
    <w:p>
      <w:pPr>
        <w:spacing w:after="200" w:before="0" w:line="280"/>
        <w:ind w:left="720"/>
      </w:pPr>
      <w:r>
        <w:rPr>
          <w:rFonts w:ascii="Times New Roman" w:cs="Times New Roman" w:eastAsia="Times New Roman" w:hAnsi="Times New Roman"/>
          <w:i/>
          <w:iCs/>
          <w:color w:val="555555"/>
          <w:sz w:val="20"/>
          <w:szCs w:val="20"/>
        </w:rPr>
        <w:t xml:space="preserve">Note: November 1967 Tagus floodplain flood event (500+ fatalities). Provides historical flood frequency and atmospheric driver context for the Tagus corridor.</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4. Ria de Aveiro</w:t>
      </w:r>
    </w:p>
    <w:p>
      <w:pPr>
        <w:spacing w:after="40" w:before="240" w:line="360"/>
      </w:pPr>
      <w:r>
        <w:rPr>
          <w:rFonts w:ascii="Times New Roman" w:cs="Times New Roman" w:eastAsia="Times New Roman" w:hAnsi="Times New Roman"/>
          <w:b/>
          <w:bCs/>
          <w:sz w:val="24"/>
          <w:szCs w:val="24"/>
        </w:rPr>
        <w:t xml:space="preserve">[REF-07] ✅</w:t>
      </w:r>
    </w:p>
    <w:p>
      <w:pPr>
        <w:spacing w:after="60" w:before="0" w:line="360"/>
        <w:ind w:left="720" w:hanging="720"/>
        <w:jc w:val="both"/>
      </w:pPr>
      <w:r>
        <w:rPr>
          <w:rFonts w:ascii="Times New Roman" w:cs="Times New Roman" w:eastAsia="Times New Roman" w:hAnsi="Times New Roman"/>
          <w:sz w:val="24"/>
          <w:szCs w:val="24"/>
        </w:rPr>
        <w:t xml:space="preserve">Lopes, C. L., Silva, P. A., Dias, J. M., Rocha, A., Picado, A., Plecha, S., &amp; Fortunato, A. B. (2011). Local sea level change scenarios for the end of the 21st century and potential physical impacts in the lower Ria de Aveiro (Portugal). </w:t>
      </w:r>
      <w:r>
        <w:rPr>
          <w:rFonts w:ascii="Times New Roman" w:cs="Times New Roman" w:eastAsia="Times New Roman" w:hAnsi="Times New Roman"/>
          <w:i/>
          <w:iCs/>
          <w:sz w:val="24"/>
          <w:szCs w:val="24"/>
        </w:rPr>
        <w:t xml:space="preserve">Continental Shelf Research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31</w:t>
      </w:r>
      <w:r>
        <w:rPr>
          <w:rFonts w:ascii="Times New Roman" w:cs="Times New Roman" w:eastAsia="Times New Roman" w:hAnsi="Times New Roman"/>
          <w:sz w:val="24"/>
          <w:szCs w:val="24"/>
        </w:rPr>
        <w:t xml:space="preserve">, 1515–1526. https://doi.org/10.1016/j.csr.2011.06.015</w:t>
      </w:r>
    </w:p>
    <w:p>
      <w:pPr>
        <w:spacing w:after="200" w:before="0" w:line="280"/>
        <w:ind w:left="720"/>
      </w:pPr>
      <w:r>
        <w:rPr>
          <w:rFonts w:ascii="Times New Roman" w:cs="Times New Roman" w:eastAsia="Times New Roman" w:hAnsi="Times New Roman"/>
          <w:i/>
          <w:iCs/>
          <w:color w:val="555555"/>
          <w:sz w:val="20"/>
          <w:szCs w:val="20"/>
        </w:rPr>
        <w:t xml:space="preserve">Note: Barrier breach threshold rationale for Aveiro lagoon. Actual journal: Continental Shelf Research (not J. Coastal Research as initially noted in script).</w:t>
      </w:r>
    </w:p>
    <w:p>
      <w:pPr>
        <w:spacing w:after="40" w:before="240" w:line="360"/>
      </w:pPr>
      <w:r>
        <w:rPr>
          <w:rFonts w:ascii="Times New Roman" w:cs="Times New Roman" w:eastAsia="Times New Roman" w:hAnsi="Times New Roman"/>
          <w:b/>
          <w:bCs/>
          <w:sz w:val="24"/>
          <w:szCs w:val="24"/>
        </w:rPr>
        <w:t xml:space="preserve">[REF-08] ✅</w:t>
      </w:r>
    </w:p>
    <w:p>
      <w:pPr>
        <w:spacing w:after="60" w:before="0" w:line="360"/>
        <w:ind w:left="720" w:hanging="720"/>
        <w:jc w:val="both"/>
      </w:pPr>
      <w:r>
        <w:rPr>
          <w:rFonts w:ascii="Times New Roman" w:cs="Times New Roman" w:eastAsia="Times New Roman" w:hAnsi="Times New Roman"/>
          <w:sz w:val="24"/>
          <w:szCs w:val="24"/>
        </w:rPr>
        <w:t xml:space="preserve">Fortunato, A. B., Oliveira, A., Rogeiro, J., da Costa, R. T., Gomes, J. L., Li, K., Jesus, G., Freire, P., Rilo, A., Mendes, A., Rodrigues, M., &amp; Azevedo, A. (2017). Operational forecast framework applied to extreme sea levels at regional and local scales. </w:t>
      </w:r>
      <w:r>
        <w:rPr>
          <w:rFonts w:ascii="Times New Roman" w:cs="Times New Roman" w:eastAsia="Times New Roman" w:hAnsi="Times New Roman"/>
          <w:i/>
          <w:iCs/>
          <w:sz w:val="24"/>
          <w:szCs w:val="24"/>
        </w:rPr>
        <w:t xml:space="preserve">Journal of Operational Oceanography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10</w:t>
      </w:r>
      <w:r>
        <w:rPr>
          <w:rFonts w:ascii="Times New Roman" w:cs="Times New Roman" w:eastAsia="Times New Roman" w:hAnsi="Times New Roman"/>
          <w:sz w:val="24"/>
          <w:szCs w:val="24"/>
        </w:rPr>
        <w:t xml:space="preserve">(1). https://doi.org/10.1080/1755876X.2016.1255471</w:t>
      </w:r>
    </w:p>
    <w:p>
      <w:pPr>
        <w:spacing w:after="200" w:before="0" w:line="280"/>
        <w:ind w:left="720"/>
      </w:pPr>
      <w:r>
        <w:rPr>
          <w:rFonts w:ascii="Times New Roman" w:cs="Times New Roman" w:eastAsia="Times New Roman" w:hAnsi="Times New Roman"/>
          <w:i/>
          <w:iCs/>
          <w:color w:val="555555"/>
          <w:sz w:val="20"/>
          <w:szCs w:val="20"/>
        </w:rPr>
        <w:t xml:space="preserve">Note: Confirmed. Year corrected to 2017 (not 2013). Journal confirmed: Journal of Operational Oceanography, 10(1), DOI 10.1080/1755876X.2016.1255471.</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5. Ports and Supply Chain Disruption</w:t>
      </w:r>
    </w:p>
    <w:p>
      <w:pPr>
        <w:spacing w:after="40" w:before="240" w:line="360"/>
      </w:pPr>
      <w:r>
        <w:rPr>
          <w:rFonts w:ascii="Times New Roman" w:cs="Times New Roman" w:eastAsia="Times New Roman" w:hAnsi="Times New Roman"/>
          <w:b/>
          <w:bCs/>
          <w:sz w:val="24"/>
          <w:szCs w:val="24"/>
        </w:rPr>
        <w:t xml:space="preserve">[REF-09] ~~RETIRED~~</w:t>
      </w:r>
    </w:p>
    <w:p>
      <w:pPr>
        <w:spacing w:after="60" w:before="0" w:line="360"/>
        <w:ind w:left="720" w:hanging="720"/>
        <w:jc w:val="both"/>
      </w:pPr>
      <w:r>
        <w:rPr>
          <w:rFonts w:ascii="Times New Roman" w:cs="Times New Roman" w:eastAsia="Times New Roman" w:hAnsi="Times New Roman"/>
          <w:sz w:val="24"/>
          <w:szCs w:val="24"/>
        </w:rPr>
        <w:t xml:space="preserve">[RETIRED] Hsu &amp; Liao (2015) — could not be confirmed as a standard, widely-cited reference in port disruption cost modelling. Replaced throughout by REF-10 (Tran et al., 2025).</w:t>
      </w:r>
    </w:p>
    <w:p>
      <w:pPr>
        <w:spacing w:after="200" w:before="0" w:line="280"/>
        <w:ind w:left="720"/>
      </w:pPr>
      <w:r>
        <w:rPr>
          <w:rFonts w:ascii="Times New Roman" w:cs="Times New Roman" w:eastAsia="Times New Roman" w:hAnsi="Times New Roman"/>
          <w:i/>
          <w:iCs/>
          <w:color w:val="555555"/>
          <w:sz w:val="20"/>
          <w:szCs w:val="20"/>
        </w:rPr>
        <w:t xml:space="preserve">Note: All chapter text (Ch2, Ch3, Ch4), Python scripts, and logs have been updated to cite Tran et al. (2025) instead.</w:t>
      </w:r>
    </w:p>
    <w:p>
      <w:pPr>
        <w:spacing w:after="40" w:before="240" w:line="360"/>
      </w:pPr>
      <w:r>
        <w:rPr>
          <w:rFonts w:ascii="Times New Roman" w:cs="Times New Roman" w:eastAsia="Times New Roman" w:hAnsi="Times New Roman"/>
          <w:b/>
          <w:bCs/>
          <w:sz w:val="24"/>
          <w:szCs w:val="24"/>
        </w:rPr>
        <w:t xml:space="preserve">[REF-10] ✅</w:t>
      </w:r>
    </w:p>
    <w:p>
      <w:pPr>
        <w:spacing w:after="60" w:before="0" w:line="360"/>
        <w:ind w:left="720" w:hanging="720"/>
        <w:jc w:val="both"/>
      </w:pPr>
      <w:r>
        <w:rPr>
          <w:rFonts w:ascii="Times New Roman" w:cs="Times New Roman" w:eastAsia="Times New Roman" w:hAnsi="Times New Roman"/>
          <w:sz w:val="24"/>
          <w:szCs w:val="24"/>
        </w:rPr>
        <w:t xml:space="preserve">Tran, N. K., Haralambides, H., Notteboom, T., &amp; Cullinane, K. (2025). The costs of maritime supply chain disruptions: The case of the Suez Canal blockage by the 'Ever Given' megaship. </w:t>
      </w:r>
      <w:r>
        <w:rPr>
          <w:rFonts w:ascii="Times New Roman" w:cs="Times New Roman" w:eastAsia="Times New Roman" w:hAnsi="Times New Roman"/>
          <w:i/>
          <w:iCs/>
          <w:sz w:val="24"/>
          <w:szCs w:val="24"/>
        </w:rPr>
        <w:t xml:space="preserve">International Journal of Production Economics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279</w:t>
      </w:r>
      <w:r>
        <w:rPr>
          <w:rFonts w:ascii="Times New Roman" w:cs="Times New Roman" w:eastAsia="Times New Roman" w:hAnsi="Times New Roman"/>
          <w:sz w:val="24"/>
          <w:szCs w:val="24"/>
        </w:rPr>
        <w:t xml:space="preserve">, 109464. https://doi.org/10.1016/j.ijpe.2024.109464</w:t>
      </w:r>
    </w:p>
    <w:p>
      <w:pPr>
        <w:spacing w:after="200" w:before="0" w:line="280"/>
        <w:ind w:left="720"/>
      </w:pPr>
      <w:r>
        <w:rPr>
          <w:rFonts w:ascii="Times New Roman" w:cs="Times New Roman" w:eastAsia="Times New Roman" w:hAnsi="Times New Roman"/>
          <w:i/>
          <w:iCs/>
          <w:color w:val="555555"/>
          <w:sz w:val="20"/>
          <w:szCs w:val="20"/>
        </w:rPr>
        <w:t xml:space="preserve">Note: Confirmed. Replaces earlier incorrect citation to 'Belhaj &amp; Khalifa (2024)' — no such paper located. ScienceDirect confirms title, journal, volume, article number and DOI. Cite as 'Tran et al. (2025)' in-text. Provides the 3–7%/week CDDR rate calibration.</w:t>
      </w:r>
    </w:p>
    <w:p>
      <w:pPr>
        <w:spacing w:after="40" w:before="240" w:line="360"/>
      </w:pPr>
      <w:r>
        <w:rPr>
          <w:rFonts w:ascii="Times New Roman" w:cs="Times New Roman" w:eastAsia="Times New Roman" w:hAnsi="Times New Roman"/>
          <w:b/>
          <w:bCs/>
          <w:sz w:val="24"/>
          <w:szCs w:val="24"/>
        </w:rPr>
        <w:t xml:space="preserve">[REF-11] ✅</w:t>
      </w:r>
    </w:p>
    <w:p>
      <w:pPr>
        <w:spacing w:after="60" w:before="0" w:line="360"/>
        <w:ind w:left="720" w:hanging="720"/>
        <w:jc w:val="both"/>
      </w:pPr>
      <w:r>
        <w:rPr>
          <w:rFonts w:ascii="Times New Roman" w:cs="Times New Roman" w:eastAsia="Times New Roman" w:hAnsi="Times New Roman"/>
          <w:sz w:val="24"/>
          <w:szCs w:val="24"/>
        </w:rPr>
        <w:t xml:space="preserve">Qu, S., She, Y., Zhou, Q., Verschuur, J., Zhao, L.-T., Liu, H., Xu, M., &amp; Wei, Y.-M. (2024). Modeling the dynamic impacts of maritime network blockage on global supply chains. </w:t>
      </w:r>
      <w:r>
        <w:rPr>
          <w:rFonts w:ascii="Times New Roman" w:cs="Times New Roman" w:eastAsia="Times New Roman" w:hAnsi="Times New Roman"/>
          <w:i/>
          <w:iCs/>
          <w:sz w:val="24"/>
          <w:szCs w:val="24"/>
        </w:rPr>
        <w:t xml:space="preserve">The Innovation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w:t>
      </w:r>
      <w:r>
        <w:rPr>
          <w:rFonts w:ascii="Times New Roman" w:cs="Times New Roman" w:eastAsia="Times New Roman" w:hAnsi="Times New Roman"/>
          <w:sz w:val="24"/>
          <w:szCs w:val="24"/>
        </w:rPr>
        <w:t xml:space="preserve">(4), 100653. https://doi.org/10.1016/j.xinn.2024.100653</w:t>
      </w:r>
    </w:p>
    <w:p>
      <w:pPr>
        <w:spacing w:after="200" w:before="0" w:line="280"/>
        <w:ind w:left="720"/>
      </w:pPr>
      <w:r>
        <w:rPr>
          <w:rFonts w:ascii="Times New Roman" w:cs="Times New Roman" w:eastAsia="Times New Roman" w:hAnsi="Times New Roman"/>
          <w:i/>
          <w:iCs/>
          <w:color w:val="555555"/>
          <w:sz w:val="20"/>
          <w:szCs w:val="20"/>
        </w:rPr>
        <w:t xml:space="preserve">Note: Confirmed. PMC confirms authors, title, journal, issue, article number and DOI. JIT vulnerability framework for port disruption analysis.</w:t>
      </w:r>
    </w:p>
    <w:p>
      <w:pPr>
        <w:spacing w:after="40" w:before="240" w:line="360"/>
      </w:pPr>
      <w:r>
        <w:rPr>
          <w:rFonts w:ascii="Times New Roman" w:cs="Times New Roman" w:eastAsia="Times New Roman" w:hAnsi="Times New Roman"/>
          <w:b/>
          <w:bCs/>
          <w:sz w:val="24"/>
          <w:szCs w:val="24"/>
        </w:rPr>
        <w:t xml:space="preserve">[REF-12] 🔍</w:t>
      </w:r>
    </w:p>
    <w:p>
      <w:pPr>
        <w:spacing w:after="60" w:before="0" w:line="360"/>
        <w:ind w:left="720" w:hanging="720"/>
        <w:jc w:val="both"/>
      </w:pPr>
      <w:r>
        <w:rPr>
          <w:rFonts w:ascii="Times New Roman" w:cs="Times New Roman" w:eastAsia="Times New Roman" w:hAnsi="Times New Roman"/>
          <w:sz w:val="24"/>
          <w:szCs w:val="24"/>
        </w:rPr>
        <w:t xml:space="preserve">International Monetary Fund. (2023). </w:t>
      </w:r>
      <w:r>
        <w:rPr>
          <w:rFonts w:ascii="Times New Roman" w:cs="Times New Roman" w:eastAsia="Times New Roman" w:hAnsi="Times New Roman"/>
          <w:i/>
          <w:iCs/>
          <w:sz w:val="24"/>
          <w:szCs w:val="24"/>
        </w:rPr>
        <w:t xml:space="preserve">PortWatch: Data and Methodology</w:t>
      </w:r>
      <w:r>
        <w:rPr>
          <w:rFonts w:ascii="Times New Roman" w:cs="Times New Roman" w:eastAsia="Times New Roman" w:hAnsi="Times New Roman"/>
          <w:sz w:val="24"/>
          <w:szCs w:val="24"/>
        </w:rPr>
        <w:t xml:space="preserve">. IMF. https://portwatch.imf.org/pages/data-and-methodology</w:t>
      </w:r>
    </w:p>
    <w:p>
      <w:pPr>
        <w:spacing w:after="200" w:before="0" w:line="280"/>
        <w:ind w:left="720"/>
      </w:pPr>
      <w:r>
        <w:rPr>
          <w:rFonts w:ascii="Times New Roman" w:cs="Times New Roman" w:eastAsia="Times New Roman" w:hAnsi="Times New Roman"/>
          <w:i/>
          <w:iCs/>
          <w:color w:val="555555"/>
          <w:sz w:val="20"/>
          <w:szCs w:val="20"/>
        </w:rPr>
        <w:t xml:space="preserve">Note: CDDR context — port monitoring methodology.</w:t>
      </w:r>
    </w:p>
    <w:p>
      <w:pPr>
        <w:spacing w:after="40" w:before="240" w:line="360"/>
      </w:pPr>
      <w:r>
        <w:rPr>
          <w:rFonts w:ascii="Times New Roman" w:cs="Times New Roman" w:eastAsia="Times New Roman" w:hAnsi="Times New Roman"/>
          <w:b/>
          <w:bCs/>
          <w:sz w:val="24"/>
          <w:szCs w:val="24"/>
        </w:rPr>
        <w:t xml:space="preserve">[REF-13] 🔍</w:t>
      </w:r>
    </w:p>
    <w:p>
      <w:pPr>
        <w:spacing w:after="60" w:before="0" w:line="360"/>
        <w:ind w:left="720" w:hanging="720"/>
        <w:jc w:val="both"/>
      </w:pPr>
      <w:r>
        <w:rPr>
          <w:rFonts w:ascii="Times New Roman" w:cs="Times New Roman" w:eastAsia="Times New Roman" w:hAnsi="Times New Roman"/>
          <w:sz w:val="24"/>
          <w:szCs w:val="24"/>
        </w:rPr>
        <w:t xml:space="preserve">Arvis, J.-F., Ojala, L., Wiederer, C., Shepherd, B., Raj, A., Dairabayeva, K., &amp; Kiiski, T. (2018). </w:t>
      </w:r>
      <w:r>
        <w:rPr>
          <w:rFonts w:ascii="Times New Roman" w:cs="Times New Roman" w:eastAsia="Times New Roman" w:hAnsi="Times New Roman"/>
          <w:i/>
          <w:iCs/>
          <w:sz w:val="24"/>
          <w:szCs w:val="24"/>
        </w:rPr>
        <w:t xml:space="preserve">Connecting to Compete 2018: Trade Logistics in the Global Economy</w:t>
      </w:r>
      <w:r>
        <w:rPr>
          <w:rFonts w:ascii="Times New Roman" w:cs="Times New Roman" w:eastAsia="Times New Roman" w:hAnsi="Times New Roman"/>
          <w:sz w:val="24"/>
          <w:szCs w:val="24"/>
        </w:rPr>
        <w:t xml:space="preserve">. World Bank. https://doi.org/10.1596/29971</w:t>
      </w:r>
    </w:p>
    <w:p>
      <w:pPr>
        <w:spacing w:after="200" w:before="0" w:line="280"/>
        <w:ind w:left="720"/>
      </w:pPr>
      <w:r>
        <w:rPr>
          <w:rFonts w:ascii="Times New Roman" w:cs="Times New Roman" w:eastAsia="Times New Roman" w:hAnsi="Times New Roman"/>
          <w:i/>
          <w:iCs/>
          <w:color w:val="555555"/>
          <w:sz w:val="20"/>
          <w:szCs w:val="20"/>
        </w:rPr>
        <w:t xml:space="preserve">Note: Port resilience and supply chain disruption context.</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6. Port Data Sources</w:t>
      </w:r>
    </w:p>
    <w:p>
      <w:pPr>
        <w:spacing w:after="40" w:before="240" w:line="360"/>
      </w:pPr>
      <w:r>
        <w:rPr>
          <w:rFonts w:ascii="Times New Roman" w:cs="Times New Roman" w:eastAsia="Times New Roman" w:hAnsi="Times New Roman"/>
          <w:b/>
          <w:bCs/>
          <w:sz w:val="24"/>
          <w:szCs w:val="24"/>
        </w:rPr>
        <w:t xml:space="preserve">[REF-14] 🔍</w:t>
      </w:r>
    </w:p>
    <w:p>
      <w:pPr>
        <w:spacing w:after="60" w:before="0" w:line="360"/>
        <w:ind w:left="720" w:hanging="720"/>
        <w:jc w:val="both"/>
      </w:pPr>
      <w:r>
        <w:rPr>
          <w:rFonts w:ascii="Times New Roman" w:cs="Times New Roman" w:eastAsia="Times New Roman" w:hAnsi="Times New Roman"/>
          <w:sz w:val="24"/>
          <w:szCs w:val="24"/>
        </w:rPr>
        <w:t xml:space="preserve">Porto de Lisboa. (2024). </w:t>
      </w:r>
      <w:r>
        <w:rPr>
          <w:rFonts w:ascii="Times New Roman" w:cs="Times New Roman" w:eastAsia="Times New Roman" w:hAnsi="Times New Roman"/>
          <w:i/>
          <w:iCs/>
          <w:sz w:val="24"/>
          <w:szCs w:val="24"/>
        </w:rPr>
        <w:t xml:space="preserve">Port of Lisbon grows in cargo and cruises</w:t>
      </w:r>
      <w:r>
        <w:rPr>
          <w:rFonts w:ascii="Times New Roman" w:cs="Times New Roman" w:eastAsia="Times New Roman" w:hAnsi="Times New Roman"/>
          <w:sz w:val="24"/>
          <w:szCs w:val="24"/>
        </w:rPr>
        <w:t xml:space="preserve"> [Press release]. https://www.portodelisboa.pt/en/-/port-of-lisbon-grows-in-cargo-and-cruises</w:t>
      </w:r>
    </w:p>
    <w:p>
      <w:pPr>
        <w:spacing w:after="200" w:before="0" w:line="280"/>
        <w:ind w:left="720"/>
      </w:pPr>
      <w:r>
        <w:rPr>
          <w:rFonts w:ascii="Times New Roman" w:cs="Times New Roman" w:eastAsia="Times New Roman" w:hAnsi="Times New Roman"/>
          <w:i/>
          <w:iCs/>
          <w:color w:val="555555"/>
          <w:sz w:val="20"/>
          <w:szCs w:val="20"/>
        </w:rPr>
        <w:t xml:space="preserve">Note: Lisbon port parameter calibration: ~11 Mt 2023, cargo_value_bn_yr = €25.0bn, jit_share_pct = 12%. Ideally replace with official annual report.</w:t>
      </w:r>
    </w:p>
    <w:p>
      <w:pPr>
        <w:spacing w:after="40" w:before="240" w:line="360"/>
      </w:pPr>
      <w:r>
        <w:rPr>
          <w:rFonts w:ascii="Times New Roman" w:cs="Times New Roman" w:eastAsia="Times New Roman" w:hAnsi="Times New Roman"/>
          <w:b/>
          <w:bCs/>
          <w:sz w:val="24"/>
          <w:szCs w:val="24"/>
        </w:rPr>
        <w:t xml:space="preserve">[REF-15] 🔍</w:t>
      </w:r>
    </w:p>
    <w:p>
      <w:pPr>
        <w:spacing w:after="60" w:before="0" w:line="360"/>
        <w:ind w:left="720" w:hanging="720"/>
        <w:jc w:val="both"/>
      </w:pPr>
      <w:r>
        <w:rPr>
          <w:rFonts w:ascii="Times New Roman" w:cs="Times New Roman" w:eastAsia="Times New Roman" w:hAnsi="Times New Roman"/>
          <w:sz w:val="24"/>
          <w:szCs w:val="24"/>
        </w:rPr>
        <w:t xml:space="preserve">Ports Europe. (2024, October). </w:t>
      </w:r>
      <w:r>
        <w:rPr>
          <w:rFonts w:ascii="Times New Roman" w:cs="Times New Roman" w:eastAsia="Times New Roman" w:hAnsi="Times New Roman"/>
          <w:i/>
          <w:iCs/>
          <w:sz w:val="24"/>
          <w:szCs w:val="24"/>
        </w:rPr>
        <w:t xml:space="preserve">Portugal mainland seaports cargo report — September 2024</w:t>
      </w:r>
      <w:r>
        <w:rPr>
          <w:rFonts w:ascii="Times New Roman" w:cs="Times New Roman" w:eastAsia="Times New Roman" w:hAnsi="Times New Roman"/>
          <w:sz w:val="24"/>
          <w:szCs w:val="24"/>
        </w:rPr>
        <w:t xml:space="preserve">. https://www.portseurope.com/portugal-mainland-seaports-cargo-report-september-2024/</w:t>
      </w:r>
    </w:p>
    <w:p>
      <w:pPr>
        <w:spacing w:after="200" w:before="0" w:line="280"/>
        <w:ind w:left="720"/>
      </w:pPr>
      <w:r>
        <w:rPr>
          <w:rFonts w:ascii="Times New Roman" w:cs="Times New Roman" w:eastAsia="Times New Roman" w:hAnsi="Times New Roman"/>
          <w:i/>
          <w:iCs/>
          <w:color w:val="555555"/>
          <w:sz w:val="20"/>
          <w:szCs w:val="20"/>
        </w:rPr>
        <w:t xml:space="preserve">Note: Leixões parameter calibration: 14.4 Mt 2024, ~25% national port traffic, cargo_value_bn_yr = €28.8bn. Also provides national throughput data (REF-17).</w:t>
      </w:r>
    </w:p>
    <w:p>
      <w:pPr>
        <w:spacing w:after="40" w:before="240" w:line="360"/>
      </w:pPr>
      <w:r>
        <w:rPr>
          <w:rFonts w:ascii="Times New Roman" w:cs="Times New Roman" w:eastAsia="Times New Roman" w:hAnsi="Times New Roman"/>
          <w:b/>
          <w:bCs/>
          <w:sz w:val="24"/>
          <w:szCs w:val="24"/>
        </w:rPr>
        <w:t xml:space="preserve">[REF-16] ✅</w:t>
      </w:r>
    </w:p>
    <w:p>
      <w:pPr>
        <w:spacing w:after="60" w:before="0" w:line="360"/>
        <w:ind w:left="720" w:hanging="720"/>
        <w:jc w:val="both"/>
      </w:pPr>
      <w:r>
        <w:rPr>
          <w:rFonts w:ascii="Times New Roman" w:cs="Times New Roman" w:eastAsia="Times New Roman" w:hAnsi="Times New Roman"/>
          <w:sz w:val="24"/>
          <w:szCs w:val="24"/>
        </w:rPr>
        <w:t xml:space="preserve">Administração dos Portos de Setúbal e Sesimbra (APSS). (2024). </w:t>
      </w:r>
      <w:r>
        <w:rPr>
          <w:rFonts w:ascii="Times New Roman" w:cs="Times New Roman" w:eastAsia="Times New Roman" w:hAnsi="Times New Roman"/>
          <w:i/>
          <w:iCs/>
          <w:sz w:val="24"/>
          <w:szCs w:val="24"/>
        </w:rPr>
        <w:t xml:space="preserve">Relatório e Contas 2023</w:t>
      </w:r>
      <w:r>
        <w:rPr>
          <w:rFonts w:ascii="Times New Roman" w:cs="Times New Roman" w:eastAsia="Times New Roman" w:hAnsi="Times New Roman"/>
          <w:sz w:val="24"/>
          <w:szCs w:val="24"/>
        </w:rPr>
        <w:t xml:space="preserve"> [Annual Report]. APSS. https://www.portodesetubal.pt/docs/upload_docs/RC_RS%202023_03.07.2024_assinado.pdf</w:t>
      </w:r>
    </w:p>
    <w:p>
      <w:pPr>
        <w:spacing w:after="200" w:before="0" w:line="280"/>
        <w:ind w:left="720"/>
      </w:pPr>
      <w:r>
        <w:rPr>
          <w:rFonts w:ascii="Times New Roman" w:cs="Times New Roman" w:eastAsia="Times New Roman" w:hAnsi="Times New Roman"/>
          <w:i/>
          <w:iCs/>
          <w:color w:val="555555"/>
          <w:sz w:val="20"/>
          <w:szCs w:val="20"/>
        </w:rPr>
        <w:t xml:space="preserve">Note: Confirmed — official signed annual report, published 03.07.2024. Provides 2023 cargo data (~6.3 Mt); cross-checked against APSS 2024 figure (6.5 Mt, +3.7% YoY). jit_share_pct = 45% (AutoEuropa/VW dependency). Institutional report — cite as APSS corporate author, not academic paper.</w:t>
      </w:r>
    </w:p>
    <w:p>
      <w:pPr>
        <w:spacing w:after="40" w:before="240" w:line="360"/>
      </w:pPr>
      <w:r>
        <w:rPr>
          <w:rFonts w:ascii="Times New Roman" w:cs="Times New Roman" w:eastAsia="Times New Roman" w:hAnsi="Times New Roman"/>
          <w:b/>
          <w:bCs/>
          <w:sz w:val="24"/>
          <w:szCs w:val="24"/>
        </w:rPr>
        <w:t xml:space="preserve">[REF-17] 🔍</w:t>
      </w:r>
    </w:p>
    <w:p>
      <w:pPr>
        <w:spacing w:after="60" w:before="0" w:line="360"/>
        <w:ind w:left="720" w:hanging="720"/>
        <w:jc w:val="both"/>
      </w:pPr>
      <w:r>
        <w:rPr>
          <w:rFonts w:ascii="Times New Roman" w:cs="Times New Roman" w:eastAsia="Times New Roman" w:hAnsi="Times New Roman"/>
          <w:sz w:val="24"/>
          <w:szCs w:val="24"/>
        </w:rPr>
        <w:t xml:space="preserve">Ports Europe. (2024). </w:t>
      </w:r>
      <w:r>
        <w:rPr>
          <w:rFonts w:ascii="Times New Roman" w:cs="Times New Roman" w:eastAsia="Times New Roman" w:hAnsi="Times New Roman"/>
          <w:i/>
          <w:iCs/>
          <w:sz w:val="24"/>
          <w:szCs w:val="24"/>
        </w:rPr>
        <w:t xml:space="preserve">Portugal mainland seaports cargo report — September 2024</w:t>
      </w:r>
      <w:r>
        <w:rPr>
          <w:rFonts w:ascii="Times New Roman" w:cs="Times New Roman" w:eastAsia="Times New Roman" w:hAnsi="Times New Roman"/>
          <w:sz w:val="24"/>
          <w:szCs w:val="24"/>
        </w:rPr>
        <w:t xml:space="preserve">. https://www.portseurope.com/portugal-mainland-seaports-cargo-report-september-2024/</w:t>
      </w:r>
    </w:p>
    <w:p>
      <w:pPr>
        <w:spacing w:after="200" w:before="0" w:line="280"/>
        <w:ind w:left="720"/>
      </w:pPr>
      <w:r>
        <w:rPr>
          <w:rFonts w:ascii="Times New Roman" w:cs="Times New Roman" w:eastAsia="Times New Roman" w:hAnsi="Times New Roman"/>
          <w:i/>
          <w:iCs/>
          <w:color w:val="555555"/>
          <w:sz w:val="20"/>
          <w:szCs w:val="20"/>
        </w:rPr>
        <w:t xml:space="preserve">Note: National port system: 69.2 Mt Jan–Sept 2024 (+8.3% YoY); ~92 Mt annualised.</w:t>
      </w:r>
    </w:p>
    <w:p>
      <w:pPr>
        <w:spacing w:after="40" w:before="240" w:line="360"/>
      </w:pPr>
      <w:r>
        <w:rPr>
          <w:rFonts w:ascii="Times New Roman" w:cs="Times New Roman" w:eastAsia="Times New Roman" w:hAnsi="Times New Roman"/>
          <w:b/>
          <w:bCs/>
          <w:sz w:val="24"/>
          <w:szCs w:val="24"/>
        </w:rPr>
        <w:t xml:space="preserve">[REF-18] 🔍</w:t>
      </w:r>
    </w:p>
    <w:p>
      <w:pPr>
        <w:spacing w:after="60" w:before="0" w:line="360"/>
        <w:ind w:left="720" w:hanging="720"/>
        <w:jc w:val="both"/>
      </w:pPr>
      <w:r>
        <w:rPr>
          <w:rFonts w:ascii="Times New Roman" w:cs="Times New Roman" w:eastAsia="Times New Roman" w:hAnsi="Times New Roman"/>
          <w:sz w:val="24"/>
          <w:szCs w:val="24"/>
        </w:rPr>
        <w:t xml:space="preserve">World Integrated Trade Solution (WITS) / World Bank. (2024). </w:t>
      </w:r>
      <w:r>
        <w:rPr>
          <w:rFonts w:ascii="Times New Roman" w:cs="Times New Roman" w:eastAsia="Times New Roman" w:hAnsi="Times New Roman"/>
          <w:i/>
          <w:iCs/>
          <w:sz w:val="24"/>
          <w:szCs w:val="24"/>
        </w:rPr>
        <w:t xml:space="preserve">Portugal trade summary 2023</w:t>
      </w:r>
      <w:r>
        <w:rPr>
          <w:rFonts w:ascii="Times New Roman" w:cs="Times New Roman" w:eastAsia="Times New Roman" w:hAnsi="Times New Roman"/>
          <w:sz w:val="24"/>
          <w:szCs w:val="24"/>
        </w:rPr>
        <w:t xml:space="preserve">. https://wits.worldbank.org/CountryProfile/en/Country/PRT/Year/2023/Summarytext</w:t>
      </w:r>
    </w:p>
    <w:p>
      <w:pPr>
        <w:spacing w:after="200" w:before="0" w:line="280"/>
        <w:ind w:left="720"/>
      </w:pPr>
      <w:r>
        <w:rPr>
          <w:rFonts w:ascii="Times New Roman" w:cs="Times New Roman" w:eastAsia="Times New Roman" w:hAnsi="Times New Roman"/>
          <w:i/>
          <w:iCs/>
          <w:color w:val="555555"/>
          <w:sz w:val="20"/>
          <w:szCs w:val="20"/>
        </w:rPr>
        <w:t xml:space="preserve">Note: Portugal exports USD 83.9bn, imports USD 113.4bn in 2023. 98.2% of freight by weight transported by sea.</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7. DEM and Geospatial Data</w:t>
      </w:r>
    </w:p>
    <w:p>
      <w:pPr>
        <w:spacing w:after="40" w:before="240" w:line="360"/>
      </w:pPr>
      <w:r>
        <w:rPr>
          <w:rFonts w:ascii="Times New Roman" w:cs="Times New Roman" w:eastAsia="Times New Roman" w:hAnsi="Times New Roman"/>
          <w:b/>
          <w:bCs/>
          <w:sz w:val="24"/>
          <w:szCs w:val="24"/>
        </w:rPr>
        <w:t xml:space="preserve">[REF-19] ✅</w:t>
      </w:r>
    </w:p>
    <w:p>
      <w:pPr>
        <w:spacing w:after="60" w:before="0" w:line="360"/>
        <w:ind w:left="720" w:hanging="720"/>
        <w:jc w:val="both"/>
      </w:pPr>
      <w:r>
        <w:rPr>
          <w:rFonts w:ascii="Times New Roman" w:cs="Times New Roman" w:eastAsia="Times New Roman" w:hAnsi="Times New Roman"/>
          <w:sz w:val="24"/>
          <w:szCs w:val="24"/>
        </w:rPr>
        <w:t xml:space="preserve">European Space Agency / Copernicus Land Monitoring Service. (2021). </w:t>
      </w:r>
      <w:r>
        <w:rPr>
          <w:rFonts w:ascii="Times New Roman" w:cs="Times New Roman" w:eastAsia="Times New Roman" w:hAnsi="Times New Roman"/>
          <w:i/>
          <w:iCs/>
          <w:sz w:val="24"/>
          <w:szCs w:val="24"/>
        </w:rPr>
        <w:t xml:space="preserve">Copernicus Digital Elevation Model (DEM) — Global 30m (GLO-30)</w:t>
      </w:r>
      <w:r>
        <w:rPr>
          <w:rFonts w:ascii="Times New Roman" w:cs="Times New Roman" w:eastAsia="Times New Roman" w:hAnsi="Times New Roman"/>
          <w:sz w:val="24"/>
          <w:szCs w:val="24"/>
        </w:rPr>
        <w:t xml:space="preserve">. ESA. https://doi.org/10.5270/ESA-c5d3d65</w:t>
      </w:r>
    </w:p>
    <w:p>
      <w:pPr>
        <w:spacing w:after="200" w:before="0" w:line="280"/>
        <w:ind w:left="720"/>
      </w:pPr>
      <w:r>
        <w:rPr>
          <w:rFonts w:ascii="Times New Roman" w:cs="Times New Roman" w:eastAsia="Times New Roman" w:hAnsi="Times New Roman"/>
          <w:i/>
          <w:iCs/>
          <w:color w:val="555555"/>
          <w:sz w:val="20"/>
          <w:szCs w:val="20"/>
        </w:rPr>
        <w:t xml:space="preserve">Note: Used in: 04_merge_dem.py, 05_flood_exposure.py, 09b_geoid_sensitivity.py, 09c_geoid_sensitivity_infra.py.</w:t>
      </w:r>
    </w:p>
    <w:p>
      <w:pPr>
        <w:spacing w:after="40" w:before="240" w:line="360"/>
      </w:pPr>
      <w:r>
        <w:rPr>
          <w:rFonts w:ascii="Times New Roman" w:cs="Times New Roman" w:eastAsia="Times New Roman" w:hAnsi="Times New Roman"/>
          <w:b/>
          <w:bCs/>
          <w:sz w:val="24"/>
          <w:szCs w:val="24"/>
        </w:rPr>
        <w:t xml:space="preserve">[REF-20] ✅</w:t>
      </w:r>
    </w:p>
    <w:p>
      <w:pPr>
        <w:spacing w:after="60" w:before="0" w:line="360"/>
        <w:ind w:left="720" w:hanging="720"/>
        <w:jc w:val="both"/>
      </w:pPr>
      <w:r>
        <w:rPr>
          <w:rFonts w:ascii="Times New Roman" w:cs="Times New Roman" w:eastAsia="Times New Roman" w:hAnsi="Times New Roman"/>
          <w:sz w:val="24"/>
          <w:szCs w:val="24"/>
        </w:rPr>
        <w:t xml:space="preserve">OpenStreetMap contributors. (2024). </w:t>
      </w:r>
      <w:r>
        <w:rPr>
          <w:rFonts w:ascii="Times New Roman" w:cs="Times New Roman" w:eastAsia="Times New Roman" w:hAnsi="Times New Roman"/>
          <w:i/>
          <w:iCs/>
          <w:sz w:val="24"/>
          <w:szCs w:val="24"/>
        </w:rPr>
        <w:t xml:space="preserve">Planet dump</w:t>
      </w:r>
      <w:r>
        <w:rPr>
          <w:rFonts w:ascii="Times New Roman" w:cs="Times New Roman" w:eastAsia="Times New Roman" w:hAnsi="Times New Roman"/>
          <w:sz w:val="24"/>
          <w:szCs w:val="24"/>
        </w:rPr>
        <w:t xml:space="preserve"> [dataset]. OpenStreetMap Foundation. https://planet.osm.org. Data licensed under the Open Database Licence (ODbL). https://www.openstreetmap.org/copyright</w:t>
      </w:r>
    </w:p>
    <w:p>
      <w:pPr>
        <w:spacing w:after="200" w:before="0" w:line="280"/>
        <w:ind w:left="720"/>
      </w:pPr>
      <w:r>
        <w:rPr>
          <w:rFonts w:ascii="Times New Roman" w:cs="Times New Roman" w:eastAsia="Times New Roman" w:hAnsi="Times New Roman"/>
          <w:i/>
          <w:iCs/>
          <w:color w:val="555555"/>
          <w:sz w:val="20"/>
          <w:szCs w:val="20"/>
        </w:rPr>
        <w:t xml:space="preserve">Note: Infrastructure inventory data. Used in: 06b_osm_infrastructure.py. Cited as dataset/data source, not academic paper — standard OSM citation form. Update year to match actual download date used in pipeline.</w:t>
      </w:r>
    </w:p>
    <w:p>
      <w:pPr>
        <w:pStyle w:val="Heading2"/>
        <w:pBdr>
          <w:bottom w:val="single" w:color="444444" w:sz="4" w:space="2"/>
        </w:pBdr>
        <w:spacing w:after="160" w:before="480" w:line="360"/>
      </w:pPr>
      <w:r>
        <w:rPr>
          <w:rFonts w:ascii="Times New Roman" w:cs="Times New Roman" w:eastAsia="Times New Roman" w:hAnsi="Times New Roman"/>
          <w:b/>
          <w:bCs/>
          <w:sz w:val="28"/>
          <w:szCs w:val="28"/>
        </w:rPr>
        <w:t xml:space="preserve">8. To Be Added / Verified</w:t>
      </w:r>
    </w:p>
    <w:p>
      <w:pPr>
        <w:spacing w:after="40" w:before="240" w:line="360"/>
      </w:pPr>
      <w:r>
        <w:rPr>
          <w:rFonts w:ascii="Times New Roman" w:cs="Times New Roman" w:eastAsia="Times New Roman" w:hAnsi="Times New Roman"/>
          <w:b/>
          <w:bCs/>
          <w:sz w:val="24"/>
          <w:szCs w:val="24"/>
        </w:rPr>
        <w:t xml:space="preserve">[ADD-01] ✅</w:t>
      </w:r>
    </w:p>
    <w:p>
      <w:pPr>
        <w:spacing w:after="60" w:before="0" w:line="360"/>
        <w:ind w:left="720" w:hanging="720"/>
        <w:jc w:val="both"/>
      </w:pPr>
      <w:r>
        <w:rPr>
          <w:rFonts w:ascii="Times New Roman" w:cs="Times New Roman" w:eastAsia="Times New Roman" w:hAnsi="Times New Roman"/>
          <w:sz w:val="24"/>
          <w:szCs w:val="24"/>
        </w:rPr>
        <w:t xml:space="preserve">Volkswagen Newsroom. (2025). </w:t>
      </w:r>
      <w:r>
        <w:rPr>
          <w:rFonts w:ascii="Times New Roman" w:cs="Times New Roman" w:eastAsia="Times New Roman" w:hAnsi="Times New Roman"/>
          <w:i/>
          <w:iCs/>
          <w:sz w:val="24"/>
          <w:szCs w:val="24"/>
        </w:rPr>
        <w:t xml:space="preserve">Volkswagen Autoeuropa Lda.</w:t>
      </w:r>
      <w:r>
        <w:rPr>
          <w:rFonts w:ascii="Times New Roman" w:cs="Times New Roman" w:eastAsia="Times New Roman" w:hAnsi="Times New Roman"/>
          <w:sz w:val="24"/>
          <w:szCs w:val="24"/>
        </w:rPr>
        <w:t xml:space="preserve"> Volkswagen AG. https://www.volkswagen-newsroom.com/en/volkswagen-autoeuropa-lda-3731</w:t>
      </w:r>
    </w:p>
    <w:p>
      <w:pPr>
        <w:spacing w:after="200" w:before="0" w:line="280"/>
        <w:ind w:left="720"/>
      </w:pPr>
      <w:r>
        <w:rPr>
          <w:rFonts w:ascii="Times New Roman" w:cs="Times New Roman" w:eastAsia="Times New Roman" w:hAnsi="Times New Roman"/>
          <w:i/>
          <w:iCs/>
          <w:color w:val="555555"/>
          <w:sz w:val="20"/>
          <w:szCs w:val="20"/>
        </w:rPr>
        <w:t xml:space="preserve">Note: Confirms 2023 turnover €3.8 B (220,100 vehicles; 1.3% PT GDP). Derivation: €3.8B ÷ 365 ≈ €10.4M/day — consistent with €8–10M/day estimate. The 45% JIT share is an industry-dependent estimate based on automotive supply chain characteristics; softened in 11a_ports.py accordingly.</w:t>
      </w:r>
    </w:p>
    <w:p>
      <w:pPr>
        <w:spacing w:after="40" w:before="240" w:line="360"/>
      </w:pPr>
      <w:r>
        <w:rPr>
          <w:rFonts w:ascii="Times New Roman" w:cs="Times New Roman" w:eastAsia="Times New Roman" w:hAnsi="Times New Roman"/>
          <w:b/>
          <w:bCs/>
          <w:sz w:val="24"/>
          <w:szCs w:val="24"/>
        </w:rPr>
        <w:t xml:space="preserve">[ADD-02] ✅</w:t>
      </w:r>
    </w:p>
    <w:p>
      <w:pPr>
        <w:spacing w:after="60" w:before="0" w:line="360"/>
        <w:ind w:left="720" w:hanging="720"/>
        <w:jc w:val="both"/>
      </w:pPr>
      <w:r>
        <w:rPr>
          <w:rFonts w:ascii="Times New Roman" w:cs="Times New Roman" w:eastAsia="Times New Roman" w:hAnsi="Times New Roman"/>
          <w:sz w:val="24"/>
          <w:szCs w:val="24"/>
        </w:rPr>
        <w:t xml:space="preserve">Ara Begum, R., Lempert, R., Ali, E., Benjaminsen, T. A., Bernauer, T., Cramer, W., Cui, X., Mach, K., Nagy, G., Stenseth, N. C., Sukumar, R., &amp; Wester, P. (2022). Point of departure and key concepts. In H.-O. Pörtner et al. (Eds.), </w:t>
      </w:r>
      <w:r>
        <w:rPr>
          <w:rFonts w:ascii="Times New Roman" w:cs="Times New Roman" w:eastAsia="Times New Roman" w:hAnsi="Times New Roman"/>
          <w:i/>
          <w:iCs/>
          <w:sz w:val="24"/>
          <w:szCs w:val="24"/>
        </w:rPr>
        <w:t xml:space="preserve">Climate Change 2022: Impacts, Adaptation and Vulnerability. Contribution of Working Group II to the Sixth Assessment Report of the Intergovernmental Panel on Climate Change</w:t>
      </w:r>
      <w:r>
        <w:rPr>
          <w:rFonts w:ascii="Times New Roman" w:cs="Times New Roman" w:eastAsia="Times New Roman" w:hAnsi="Times New Roman"/>
          <w:sz w:val="24"/>
          <w:szCs w:val="24"/>
        </w:rPr>
        <w:t xml:space="preserve"> (Chapter 1). Cambridge University Press. https://doi.org/10.1017/9781009325844.003</w:t>
      </w:r>
    </w:p>
    <w:p>
      <w:pPr>
        <w:spacing w:after="200" w:before="0" w:line="280"/>
        <w:ind w:left="720"/>
      </w:pPr>
      <w:r>
        <w:rPr>
          <w:rFonts w:ascii="Times New Roman" w:cs="Times New Roman" w:eastAsia="Times New Roman" w:hAnsi="Times New Roman"/>
          <w:i/>
          <w:iCs/>
          <w:color w:val="555555"/>
          <w:sz w:val="20"/>
          <w:szCs w:val="20"/>
        </w:rPr>
        <w:t xml:space="preserve">Note: REF-21 — IPCC AR6 WG2 Ch.1. Primary source for Risk = f(Hazard, Exposure, Vulnerability) framework. Cite formally in Ch3 §3.1 methodology section.</w:t>
      </w:r>
    </w:p>
    <w:p>
      <w:pPr>
        <w:spacing w:after="40" w:before="240" w:line="360"/>
      </w:pPr>
      <w:r>
        <w:rPr>
          <w:rFonts w:ascii="Times New Roman" w:cs="Times New Roman" w:eastAsia="Times New Roman" w:hAnsi="Times New Roman"/>
          <w:b/>
          <w:bCs/>
          <w:sz w:val="24"/>
          <w:szCs w:val="24"/>
        </w:rPr>
        <w:t xml:space="preserve">[ADD-03] ✅</w:t>
      </w:r>
    </w:p>
    <w:p>
      <w:pPr>
        <w:spacing w:after="60" w:before="0" w:line="360"/>
        <w:ind w:left="720" w:hanging="720"/>
        <w:jc w:val="both"/>
      </w:pPr>
      <w:r>
        <w:rPr>
          <w:rFonts w:ascii="Times New Roman" w:cs="Times New Roman" w:eastAsia="Times New Roman" w:hAnsi="Times New Roman"/>
          <w:sz w:val="24"/>
          <w:szCs w:val="24"/>
        </w:rPr>
        <w:t xml:space="preserve">Stern, N. (2007). </w:t>
      </w:r>
      <w:r>
        <w:rPr>
          <w:rFonts w:ascii="Times New Roman" w:cs="Times New Roman" w:eastAsia="Times New Roman" w:hAnsi="Times New Roman"/>
          <w:i/>
          <w:iCs/>
          <w:sz w:val="24"/>
          <w:szCs w:val="24"/>
        </w:rPr>
        <w:t xml:space="preserve">The Economics of Climate Change: The Stern Review</w:t>
      </w:r>
      <w:r>
        <w:rPr>
          <w:rFonts w:ascii="Times New Roman" w:cs="Times New Roman" w:eastAsia="Times New Roman" w:hAnsi="Times New Roman"/>
          <w:sz w:val="24"/>
          <w:szCs w:val="24"/>
        </w:rPr>
        <w:t xml:space="preserve">. Cambridge University Press.</w:t>
      </w:r>
    </w:p>
    <w:p>
      <w:pPr>
        <w:spacing w:after="200" w:before="0" w:line="280"/>
        <w:ind w:left="720"/>
      </w:pPr>
      <w:r>
        <w:rPr>
          <w:rFonts w:ascii="Times New Roman" w:cs="Times New Roman" w:eastAsia="Times New Roman" w:hAnsi="Times New Roman"/>
          <w:i/>
          <w:iCs/>
          <w:color w:val="555555"/>
          <w:sz w:val="20"/>
          <w:szCs w:val="20"/>
        </w:rPr>
        <w:t xml:space="preserve">Note: REF-23 — Discount rate debate in climate CBA. Supports ANALYSIS_LOG Decision 013 (no NPV discounting for long-horizon climate costs).</w:t>
      </w:r>
    </w:p>
    <w:p>
      <w:pPr>
        <w:spacing w:after="40" w:before="240" w:line="360"/>
      </w:pPr>
      <w:r>
        <w:rPr>
          <w:rFonts w:ascii="Times New Roman" w:cs="Times New Roman" w:eastAsia="Times New Roman" w:hAnsi="Times New Roman"/>
          <w:b/>
          <w:bCs/>
          <w:sz w:val="24"/>
          <w:szCs w:val="24"/>
        </w:rPr>
        <w:t xml:space="preserve">[ADD-04] ✅</w:t>
      </w:r>
    </w:p>
    <w:p>
      <w:pPr>
        <w:spacing w:after="60" w:before="0" w:line="360"/>
        <w:ind w:left="720" w:hanging="720"/>
        <w:jc w:val="both"/>
      </w:pPr>
      <w:r>
        <w:rPr>
          <w:rFonts w:ascii="Times New Roman" w:cs="Times New Roman" w:eastAsia="Times New Roman" w:hAnsi="Times New Roman"/>
          <w:sz w:val="24"/>
          <w:szCs w:val="24"/>
        </w:rPr>
        <w:t xml:space="preserve">Instituto Nacional de Estatística (INE). (2024). </w:t>
      </w:r>
      <w:r>
        <w:rPr>
          <w:rFonts w:ascii="Times New Roman" w:cs="Times New Roman" w:eastAsia="Times New Roman" w:hAnsi="Times New Roman"/>
          <w:i/>
          <w:iCs/>
          <w:sz w:val="24"/>
          <w:szCs w:val="24"/>
        </w:rPr>
        <w:t xml:space="preserve">Contas regionais: Produto interno bruto por NUTS III, 2022</w:t>
      </w:r>
      <w:r>
        <w:rPr>
          <w:rFonts w:ascii="Times New Roman" w:cs="Times New Roman" w:eastAsia="Times New Roman" w:hAnsi="Times New Roman"/>
          <w:sz w:val="24"/>
          <w:szCs w:val="24"/>
        </w:rPr>
        <w:t xml:space="preserve"> [dataset]. INE. https://www.ine.pt/xportal/xmain?xpid=INE&amp;xpgid=ine_contas_nacionais&amp;contexto=cr&amp;selTab=tab3</w:t>
      </w:r>
    </w:p>
    <w:p>
      <w:pPr>
        <w:spacing w:after="200" w:before="0" w:line="280"/>
        <w:ind w:left="720"/>
      </w:pPr>
      <w:r>
        <w:rPr>
          <w:rFonts w:ascii="Times New Roman" w:cs="Times New Roman" w:eastAsia="Times New Roman" w:hAnsi="Times New Roman"/>
          <w:i/>
          <w:iCs/>
          <w:color w:val="555555"/>
          <w:sz w:val="20"/>
          <w:szCs w:val="20"/>
        </w:rPr>
        <w:t xml:space="preserve">Note: REF-22 — Regional GDP (PIB) by NUTS3, 2022 final values. Used in 06a_economic_gdp.py for flood-zone economic exposure baseline.</w:t>
      </w:r>
    </w:p>
    <w:p>
      <w:pPr>
        <w:spacing w:after="40" w:before="240" w:line="360"/>
      </w:pPr>
      <w:r>
        <w:rPr>
          <w:rFonts w:ascii="Times New Roman" w:cs="Times New Roman" w:eastAsia="Times New Roman" w:hAnsi="Times New Roman"/>
          <w:b/>
          <w:bCs/>
          <w:sz w:val="24"/>
          <w:szCs w:val="24"/>
        </w:rPr>
        <w:t xml:space="preserve">[ADFERSIT2021] ✅</w:t>
      </w:r>
    </w:p>
    <w:p>
      <w:pPr>
        <w:spacing w:after="60" w:before="0" w:line="360"/>
        <w:ind w:left="720" w:hanging="720"/>
        <w:jc w:val="both"/>
      </w:pPr>
      <w:r>
        <w:rPr>
          <w:rFonts w:ascii="Times New Roman" w:cs="Times New Roman" w:eastAsia="Times New Roman" w:hAnsi="Times New Roman"/>
          <w:sz w:val="24"/>
          <w:szCs w:val="24"/>
        </w:rPr>
        <w:t xml:space="preserve">ADFERSIT. (2021, May 31). </w:t>
      </w:r>
      <w:r>
        <w:rPr>
          <w:rFonts w:ascii="Times New Roman" w:cs="Times New Roman" w:eastAsia="Times New Roman" w:hAnsi="Times New Roman"/>
          <w:i/>
          <w:iCs/>
          <w:sz w:val="24"/>
          <w:szCs w:val="24"/>
        </w:rPr>
        <w:t xml:space="preserve">Infraestrutura Ferroviária — ISG</w:t>
      </w:r>
      <w:r>
        <w:rPr>
          <w:rFonts w:ascii="Times New Roman" w:cs="Times New Roman" w:eastAsia="Times New Roman" w:hAnsi="Times New Roman"/>
          <w:sz w:val="24"/>
          <w:szCs w:val="24"/>
        </w:rPr>
        <w:t xml:space="preserve"> [Presentation]. Associação dos Profissionais Ferroviários e das Infraestruturas dos Sistemas de Transporte. https://adfersit.pt/docs/infraestrutura-ferroviaria-isg-31-05-2021.pdf</w:t>
      </w:r>
    </w:p>
    <w:p>
      <w:pPr>
        <w:spacing w:after="200" w:before="0" w:line="280"/>
        <w:ind w:left="720"/>
      </w:pPr>
      <w:r>
        <w:rPr>
          <w:rFonts w:ascii="Times New Roman" w:cs="Times New Roman" w:eastAsia="Times New Roman" w:hAnsi="Times New Roman"/>
          <w:i/>
          <w:iCs/>
          <w:color w:val="555555"/>
          <w:sz w:val="20"/>
          <w:szCs w:val="20"/>
        </w:rPr>
        <w:t xml:space="preserve">Note: Slide 32 provides section-level train-movement counts (N.º de comboios por dia/via, H2019 data) for 15 sections of the Linha do Norte. Cited for Aveiro–Ovar (66/day), Alfarelos–Coimbra B (72/day), Alverca–Castanheira (112/day), and the ~730 total daily movements figure.</w:t>
      </w:r>
    </w:p>
    <w:p>
      <w:pPr>
        <w:spacing w:after="40" w:before="240" w:line="360"/>
      </w:pPr>
      <w:r>
        <w:rPr>
          <w:rFonts w:ascii="Times New Roman" w:cs="Times New Roman" w:eastAsia="Times New Roman" w:hAnsi="Times New Roman"/>
          <w:b/>
          <w:bCs/>
          <w:sz w:val="24"/>
          <w:szCs w:val="24"/>
        </w:rPr>
        <w:t xml:space="preserve">[AMT2022] ✅</w:t>
      </w:r>
    </w:p>
    <w:p>
      <w:pPr>
        <w:spacing w:after="60" w:before="0" w:line="360"/>
        <w:ind w:left="720" w:hanging="720"/>
        <w:jc w:val="both"/>
      </w:pPr>
      <w:r>
        <w:rPr>
          <w:rFonts w:ascii="Times New Roman" w:cs="Times New Roman" w:eastAsia="Times New Roman" w:hAnsi="Times New Roman"/>
          <w:sz w:val="24"/>
          <w:szCs w:val="24"/>
        </w:rPr>
        <w:t xml:space="preserve">Autoridade da Mobilidade e dos Transportes (AMT). (2023). </w:t>
      </w:r>
      <w:r>
        <w:rPr>
          <w:rFonts w:ascii="Times New Roman" w:cs="Times New Roman" w:eastAsia="Times New Roman" w:hAnsi="Times New Roman"/>
          <w:i/>
          <w:iCs/>
          <w:sz w:val="24"/>
          <w:szCs w:val="24"/>
        </w:rPr>
        <w:t xml:space="preserve">Nota estatística — Transporte ferroviário em Portugal, 2019–2022</w:t>
      </w:r>
      <w:r>
        <w:rPr>
          <w:rFonts w:ascii="Times New Roman" w:cs="Times New Roman" w:eastAsia="Times New Roman" w:hAnsi="Times New Roman"/>
          <w:sz w:val="24"/>
          <w:szCs w:val="24"/>
        </w:rPr>
        <w:t xml:space="preserve">. AMT. https://observatorio.amt-autoridade.pt/publicacao/transporte-ferroviario-em-portugal-2019-2022</w:t>
      </w:r>
    </w:p>
    <w:p>
      <w:pPr>
        <w:spacing w:after="200" w:before="0" w:line="280"/>
        <w:ind w:left="720"/>
      </w:pPr>
      <w:r>
        <w:rPr>
          <w:rFonts w:ascii="Times New Roman" w:cs="Times New Roman" w:eastAsia="Times New Roman" w:hAnsi="Times New Roman"/>
          <w:i/>
          <w:iCs/>
          <w:color w:val="555555"/>
          <w:sz w:val="20"/>
          <w:szCs w:val="20"/>
        </w:rPr>
        <w:t xml:space="preserve">Note: Cited as AMT (2022) in-text (data year). Tabela 1 provides average passengers per train (PKm/CKm) by service type: long-distance 176, regional 54, Lisboa suburban CP 277, Porto suburban CP 117. The Lisboa suburban 2022 rate (277) is retained in preference to the 2023 figure (363) because 2023 was distorted by strike-related supply reduction.</w:t>
      </w:r>
    </w:p>
    <w:p>
      <w:pPr>
        <w:spacing w:after="40" w:before="240" w:line="360"/>
      </w:pPr>
      <w:r>
        <w:rPr>
          <w:rFonts w:ascii="Times New Roman" w:cs="Times New Roman" w:eastAsia="Times New Roman" w:hAnsi="Times New Roman"/>
          <w:b/>
          <w:bCs/>
          <w:sz w:val="24"/>
          <w:szCs w:val="24"/>
        </w:rPr>
        <w:t xml:space="preserve">[AMT2024] ✅</w:t>
      </w:r>
    </w:p>
    <w:p>
      <w:pPr>
        <w:spacing w:after="60" w:before="0" w:line="360"/>
        <w:ind w:left="720" w:hanging="720"/>
        <w:jc w:val="both"/>
      </w:pPr>
      <w:r>
        <w:rPr>
          <w:rFonts w:ascii="Times New Roman" w:cs="Times New Roman" w:eastAsia="Times New Roman" w:hAnsi="Times New Roman"/>
          <w:sz w:val="24"/>
          <w:szCs w:val="24"/>
        </w:rPr>
        <w:t xml:space="preserve">Autoridade da Mobilidade e dos Transportes (AMT). (2024, November). </w:t>
      </w:r>
      <w:r>
        <w:rPr>
          <w:rFonts w:ascii="Times New Roman" w:cs="Times New Roman" w:eastAsia="Times New Roman" w:hAnsi="Times New Roman"/>
          <w:i/>
          <w:iCs/>
          <w:sz w:val="24"/>
          <w:szCs w:val="24"/>
        </w:rPr>
        <w:t xml:space="preserve">Análise estatística — Transporte ferroviário em Portugal, 2023</w:t>
      </w:r>
      <w:r>
        <w:rPr>
          <w:rFonts w:ascii="Times New Roman" w:cs="Times New Roman" w:eastAsia="Times New Roman" w:hAnsi="Times New Roman"/>
          <w:sz w:val="24"/>
          <w:szCs w:val="24"/>
        </w:rPr>
        <w:t xml:space="preserve">. AMT. https://observatorio.amt-autoridade.pt/publicacao/transporte-ferroviario-em-portugal-2023</w:t>
      </w:r>
    </w:p>
    <w:p>
      <w:pPr>
        <w:spacing w:after="200" w:before="0" w:line="280"/>
        <w:ind w:left="720"/>
      </w:pPr>
      <w:r>
        <w:rPr>
          <w:rFonts w:ascii="Times New Roman" w:cs="Times New Roman" w:eastAsia="Times New Roman" w:hAnsi="Times New Roman"/>
          <w:i/>
          <w:iCs/>
          <w:color w:val="555555"/>
          <w:sz w:val="20"/>
          <w:szCs w:val="20"/>
        </w:rPr>
        <w:t xml:space="preserve">Note: Cited as AMT (2024) in-text. Figure 15 provides updated PKm/CKm ratios for 2019, 2022, and 2023. Values used: long-distance 178, regional 59, Porto suburban 119. Lisboa suburban 2023 value (363) not used — inflated by strike-related supply suppression. Most recent available AMT railway statistics publication at time of writing.</w:t>
      </w:r>
    </w:p>
    <w:p>
      <w:pPr>
        <w:spacing w:after="40" w:before="240" w:line="360"/>
      </w:pPr>
      <w:r>
        <w:rPr>
          <w:rFonts w:ascii="Times New Roman" w:cs="Times New Roman" w:eastAsia="Times New Roman" w:hAnsi="Times New Roman"/>
          <w:b/>
          <w:bCs/>
          <w:sz w:val="24"/>
          <w:szCs w:val="24"/>
        </w:rPr>
        <w:t xml:space="preserve">[GovernoPortugal2022] ✅</w:t>
      </w:r>
    </w:p>
    <w:p>
      <w:pPr>
        <w:spacing w:after="60" w:before="0" w:line="360"/>
        <w:ind w:left="720" w:hanging="720"/>
        <w:jc w:val="both"/>
      </w:pPr>
      <w:r>
        <w:rPr>
          <w:rFonts w:ascii="Times New Roman" w:cs="Times New Roman" w:eastAsia="Times New Roman" w:hAnsi="Times New Roman"/>
          <w:sz w:val="24"/>
          <w:szCs w:val="24"/>
        </w:rPr>
        <w:t xml:space="preserve">Governo de Portugal. (2022). </w:t>
      </w:r>
      <w:r>
        <w:rPr>
          <w:rFonts w:ascii="Times New Roman" w:cs="Times New Roman" w:eastAsia="Times New Roman" w:hAnsi="Times New Roman"/>
          <w:i/>
          <w:iCs/>
          <w:sz w:val="24"/>
          <w:szCs w:val="24"/>
        </w:rPr>
        <w:t xml:space="preserve">Resposta à Assembleia da República — Circulação de comboios na Linha do Norte</w:t>
      </w:r>
      <w:r>
        <w:rPr>
          <w:rFonts w:ascii="Times New Roman" w:cs="Times New Roman" w:eastAsia="Times New Roman" w:hAnsi="Times New Roman"/>
          <w:sz w:val="24"/>
          <w:szCs w:val="24"/>
        </w:rPr>
        <w:t xml:space="preserve">. Governo de Portugal.</w:t>
      </w:r>
    </w:p>
    <w:p>
      <w:pPr>
        <w:spacing w:after="200" w:before="0" w:line="280"/>
        <w:ind w:left="720"/>
      </w:pPr>
      <w:r>
        <w:rPr>
          <w:rFonts w:ascii="Times New Roman" w:cs="Times New Roman" w:eastAsia="Times New Roman" w:hAnsi="Times New Roman"/>
          <w:i/>
          <w:iCs/>
          <w:color w:val="555555"/>
          <w:sz w:val="20"/>
          <w:szCs w:val="20"/>
        </w:rPr>
        <w:t xml:space="preserve">Note: Parliamentary Q&amp;A confirming that approximately 90% of Portugal's rail freight trains operate at least partially on the Linha do Norte. Cited alongside ADFERSIT (2021) for the freight corridor statistic.</w:t>
      </w:r>
    </w:p>
    <w:p>
      <w:pPr>
        <w:spacing w:after="40" w:before="240" w:line="360"/>
      </w:pPr>
      <w:r>
        <w:rPr>
          <w:rFonts w:ascii="Times New Roman" w:cs="Times New Roman" w:eastAsia="Times New Roman" w:hAnsi="Times New Roman"/>
          <w:b/>
          <w:bCs/>
          <w:sz w:val="24"/>
          <w:szCs w:val="24"/>
        </w:rPr>
        <w:t xml:space="preserve">[CP2025timetables] ✅</w:t>
      </w:r>
    </w:p>
    <w:p>
      <w:pPr>
        <w:spacing w:after="60" w:before="0" w:line="360"/>
        <w:ind w:left="720" w:hanging="720"/>
        <w:jc w:val="both"/>
      </w:pPr>
      <w:r>
        <w:rPr>
          <w:rFonts w:ascii="Times New Roman" w:cs="Times New Roman" w:eastAsia="Times New Roman" w:hAnsi="Times New Roman"/>
          <w:sz w:val="24"/>
          <w:szCs w:val="24"/>
        </w:rPr>
        <w:t xml:space="preserve">CP — Comboios de Portugal, E.P.E. (2025). </w:t>
      </w:r>
      <w:r>
        <w:rPr>
          <w:rFonts w:ascii="Times New Roman" w:cs="Times New Roman" w:eastAsia="Times New Roman" w:hAnsi="Times New Roman"/>
          <w:i/>
          <w:iCs/>
          <w:sz w:val="24"/>
          <w:szCs w:val="24"/>
        </w:rPr>
        <w:t xml:space="preserve">Horários de comboios PDF — Linha do Norte, Linha de Aveiro, Linha de Sintra/Azambuja</w:t>
      </w:r>
      <w:r>
        <w:rPr>
          <w:rFonts w:ascii="Times New Roman" w:cs="Times New Roman" w:eastAsia="Times New Roman" w:hAnsi="Times New Roman"/>
          <w:sz w:val="24"/>
          <w:szCs w:val="24"/>
        </w:rPr>
        <w:t xml:space="preserve"> [PDF timetables, valid from 14 December 2025]. CP. https://www.cp.pt/info/w/horarios-comboios-pdf</w:t>
      </w:r>
    </w:p>
    <w:p>
      <w:pPr>
        <w:spacing w:after="200" w:before="0" w:line="280"/>
        <w:ind w:left="720"/>
      </w:pPr>
      <w:r>
        <w:rPr>
          <w:rFonts w:ascii="Times New Roman" w:cs="Times New Roman" w:eastAsia="Times New Roman" w:hAnsi="Times New Roman"/>
          <w:i/>
          <w:iCs/>
          <w:color w:val="555555"/>
          <w:sz w:val="20"/>
          <w:szCs w:val="20"/>
        </w:rPr>
        <w:t xml:space="preserve">Note: Used to derive service-type frequency (AP, IC, Regional, Porto suburban, Lisboa suburban) at each study section for passenger exposure calculations. Timetables fetched December 2025.</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4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2026-05-21T12:22:56.837Z</dcterms:created>
  <dcterms:modified xsi:type="dcterms:W3CDTF">2026-05-21T12:22:56.857Z</dcterms:modified>
</cp:coreProperties>
</file>

<file path=docProps/custom.xml><?xml version="1.0" encoding="utf-8"?>
<Properties xmlns="http://schemas.openxmlformats.org/officeDocument/2006/custom-properties" xmlns:vt="http://schemas.openxmlformats.org/officeDocument/2006/docPropsVTypes"/>
</file>