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4C2D" w:rsidRPr="00D93D76" w:rsidRDefault="00000000">
      <w:pPr>
        <w:pStyle w:val="Ttulo1"/>
        <w:spacing w:line="360" w:lineRule="auto"/>
        <w:rPr>
          <w:lang w:val="en-US"/>
        </w:rPr>
      </w:pPr>
      <w:r>
        <w:rPr>
          <w:lang w:val="en-US"/>
        </w:rPr>
        <w:t>Chapter 2: Literature Review</w:t>
      </w:r>
    </w:p>
    <w:p w:rsidR="00F64C2D" w:rsidRPr="00D93D76" w:rsidRDefault="006473E9">
      <w:pPr>
        <w:pStyle w:val="Ttulo2"/>
        <w:spacing w:line="360" w:lineRule="auto"/>
        <w:rPr>
          <w:lang w:val="en-US"/>
        </w:rPr>
      </w:pPr>
      <w:r>
        <w:rPr>
          <w:lang w:val="en-US"/>
        </w:rPr>
        <w:t>2.1 Climate Change and Global Sea Level Rise</w:t>
      </w:r>
    </w:p>
    <w:p w:rsidR="00F64C2D" w:rsidRPr="00D93D76" w:rsidRDefault="00000000">
      <w:pPr>
        <w:spacing w:after="160" w:line="360" w:lineRule="auto"/>
        <w:jc w:val="both"/>
        <w:rPr>
          <w:lang w:val="en-US"/>
        </w:rPr>
      </w:pPr>
      <w:r>
        <w:rPr>
          <w:lang w:val="en-US"/>
        </w:rPr>
        <w:t>Sea level rise (SLR) is among the most consequential physical consequences of anthropogenic climate change. Since the pre-industrial era, global mean surface temperature has risen by approximately 1.1°C, triggering a cascade of physical changes to the Earth system that affect the distribution of water across the ocean, cryosphere, and land surface. Global mean sea level rose at an average rate of approximately 1.3 mm/yr during the twentieth century, accelerating to 3.7 mm/yr in the satellite altimetry era (1993–2018), driven by the thermal expansion of ocean water and accelerating mass loss from the Greenland and Antarctic ice sheets (Fox-Kemper et al., 2021). This acceleration is not linear: rates of rise are expected to compound further throughout the twenty-first century as ice dynamics and ocean heat uptake amplify the response to sustained radiative forcing.</w:t>
      </w:r>
    </w:p>
    <w:p w:rsidR="00F64C2D" w:rsidRPr="00D93D76" w:rsidRDefault="00000000">
      <w:pPr>
        <w:spacing w:after="160" w:line="360" w:lineRule="auto"/>
        <w:jc w:val="both"/>
        <w:rPr>
          <w:lang w:val="en-US"/>
        </w:rPr>
      </w:pPr>
      <w:r>
        <w:rPr>
          <w:lang w:val="en-US"/>
        </w:rPr>
        <w:t>The Sixth Assessment Report of the Intergovernmental Panel on Climate Change (IPCC AR6) provides the most comprehensive and authoritative set of SLR projections currently available, structured around a range of Shared Socio-economic Pathways (SSPs) that reflect different trajectories of greenhouse gas emissions and socio-economic development (Fox-Kemper et al., 2021). Under a low-emission scenario consistent with aggressive climate mitigation (SSP1-2.6), global mean SLR above the 2020 baseline is projected at 0.32–0.62 meters by 2100, with a central estimate near 0.40 meters. An intermediate scenario (SSP2-4.5) projects 0.45–0.79 meters, whilst the high-emission scenario (SSP5-8.5) — consistent with continued heavy reliance on fossil fuels and limited mitigation action — projects 0.63–1.02 meters, with low-probability, high-impact ice sheet contributions potentially pushing outcomes beyond 1.5 meters (Fox-Kemper et al., 2021). These three scenarios define the uncertainty envelope adopted in this study, representing respectively optimistic, intermediate, and pessimistic futures for coastal Portugal. It should be noted that the IPCC AR6 SLR projections are formally published relative to a 1995–2014 reference baseline; this study adopts 2020 as the practical working baseline, which requires an upward adjustment of approximately 0.06 meters to account for the observed rise between the AR6 baseline period and 2020. This conversion is applied consistently across all scenarios and renders the adopted central values marginally conservative relative to the published AR6 estimates.</w:t>
      </w:r>
    </w:p>
    <w:p w:rsidR="00F64C2D" w:rsidRPr="00D93D76" w:rsidRDefault="00000000">
      <w:pPr>
        <w:spacing w:after="160" w:line="360" w:lineRule="auto"/>
        <w:jc w:val="both"/>
        <w:rPr>
          <w:lang w:val="en-US"/>
        </w:rPr>
      </w:pPr>
      <w:r>
        <w:rPr>
          <w:lang w:val="en-US"/>
        </w:rPr>
        <w:lastRenderedPageBreak/>
        <w:t>A critical characteristic of these projections, with direct implications for infrastructure planning, is their temporal non-linearity. Rates of SLR are expected to accelerate markedly after 2050 under all but the most aggressive mitigation scenarios, with the most severe consequences concentrated in the period 2075–2100. This trajectory is particularly significant for long-lived infrastructure assets — ports, railways, motorways, and the utility networks that serve them — which are designed for operational lifespans of 50 to 100 years and therefore face compounding risk exposure through the latter half of the century. An investment decision made today will encounter a very different sea level environment in 2075 than the one that informed the original design.</w:t>
      </w:r>
    </w:p>
    <w:p w:rsidR="00F64C2D" w:rsidRPr="00D93D76" w:rsidRDefault="00000000">
      <w:pPr>
        <w:spacing w:after="160" w:line="360" w:lineRule="auto"/>
        <w:jc w:val="both"/>
        <w:rPr>
          <w:lang w:val="en-US"/>
        </w:rPr>
      </w:pPr>
      <w:r>
        <w:rPr>
          <w:lang w:val="en-US"/>
        </w:rPr>
        <w:t>The geographic distribution of SLR is not uniform. Regional deviations from the global mean arise from variations in ocean circulation patterns, gravitational effects of redistributed ice mass, and vertical land motion (VLM) at specific locations. For the North Atlantic and the Western Iberian Margin, projected SLR is generally of similar magnitude to the global mean, though local sea level can differ from the global average due to ocean circulation changes, wind patterns, and vertical land motion (Fox-Kemper et al., 2021). The IPCC AR6 global projections are used in this study as the primary scenario input — a standard simplification at regional scales; local reference-frame uncertainty is addressed separately through the geoid-offset sensitivity variant described in Section 2.7.</w:t>
      </w:r>
    </w:p>
    <w:p w:rsidR="00F64C2D" w:rsidRPr="00D93D76" w:rsidRDefault="006473E9">
      <w:pPr>
        <w:pStyle w:val="Ttulo2"/>
        <w:spacing w:line="360" w:lineRule="auto"/>
        <w:rPr>
          <w:lang w:val="en-US"/>
        </w:rPr>
      </w:pPr>
      <w:r>
        <w:rPr>
          <w:lang w:val="en-US"/>
        </w:rPr>
        <w:t>2.2 The IPCC AR6 Risk Assessment Framework</w:t>
      </w:r>
    </w:p>
    <w:p w:rsidR="00F64C2D" w:rsidRPr="00D93D76" w:rsidRDefault="00000000">
      <w:pPr>
        <w:spacing w:after="160" w:line="360" w:lineRule="auto"/>
        <w:jc w:val="both"/>
        <w:rPr>
          <w:lang w:val="en-US"/>
        </w:rPr>
      </w:pPr>
      <w:r>
        <w:rPr>
          <w:lang w:val="en-US"/>
        </w:rPr>
        <w:t>The IPCC AR6 Working Group II conceptualizes climate risk as a function of three interacting components: hazard, exposure, and vulnerability (Ara Begum et al., 2022). Hazard refers to the physical climate signal and its manifestation as a potentially damaging event — in the context of this study, the inundation of coastal and estuarine terrain as sea levels rise. Exposure refers to the people, assets, economic activities, and ecosystems located within the spatial domain where the hazard occurs. Vulnerability refers to the propensity or predisposition of exposed elements to be adversely affected, shaped by their physical characteristics, functional dependencies, and adaptive capacity.</w:t>
      </w:r>
    </w:p>
    <w:p w:rsidR="00D93D76" w:rsidRDefault="00000000">
      <w:pPr>
        <w:spacing w:after="160" w:line="360" w:lineRule="auto"/>
        <w:jc w:val="both"/>
        <w:rPr>
          <w:lang w:val="en-US"/>
        </w:rPr>
      </w:pPr>
      <w:r>
        <w:rPr>
          <w:lang w:val="en-US"/>
        </w:rPr>
        <w:t xml:space="preserve">This triparty framework provides a principled basis for structuring a multi-pillar economic assessment of SLR impacts. </w:t>
      </w:r>
    </w:p>
    <w:p w:rsidR="00D93D76" w:rsidRDefault="00000000">
      <w:pPr>
        <w:spacing w:after="160" w:line="360" w:lineRule="auto"/>
        <w:jc w:val="both"/>
        <w:rPr>
          <w:lang w:val="en-US"/>
        </w:rPr>
      </w:pPr>
      <w:r>
        <w:rPr>
          <w:lang w:val="en-US"/>
        </w:rPr>
        <w:lastRenderedPageBreak/>
        <w:t xml:space="preserve">Pillar 1 of this study — Economic Exposure — addresses the intersection of hazard and exposure by quantifying the annual economic output (GDP) of NUTS3 regions that falls within the inundated zone at a given SLR level. </w:t>
      </w:r>
    </w:p>
    <w:p w:rsidR="00D93D76" w:rsidRDefault="00000000">
      <w:pPr>
        <w:spacing w:after="160" w:line="360" w:lineRule="auto"/>
        <w:jc w:val="both"/>
        <w:rPr>
          <w:lang w:val="en-US"/>
        </w:rPr>
      </w:pPr>
      <w:r>
        <w:rPr>
          <w:lang w:val="en-US"/>
        </w:rPr>
        <w:t xml:space="preserve">Pillar 2 — Asset Exposure — extends this to the replacement value of physical infrastructure stock (buildings, roads, railways, utility networks) exposed to permanent inundation. </w:t>
      </w:r>
    </w:p>
    <w:p w:rsidR="00F64C2D" w:rsidRPr="00D93D76" w:rsidRDefault="00000000">
      <w:pPr>
        <w:spacing w:after="160" w:line="360" w:lineRule="auto"/>
        <w:jc w:val="both"/>
        <w:rPr>
          <w:lang w:val="en-US"/>
        </w:rPr>
      </w:pPr>
      <w:r>
        <w:rPr>
          <w:lang w:val="en-US"/>
        </w:rPr>
        <w:t>Pillar 3 — Critical Infrastructure Disruption Risk — addresses the vulnerability dimension: not merely what assets are physically located in the flood zone, but how frequently they are temporarily rendered non-operational by compound flood events, and at what cumulative economic cost across the period 2025–2100.</w:t>
      </w:r>
    </w:p>
    <w:p w:rsidR="00F64C2D" w:rsidRPr="00D93D76" w:rsidRDefault="00000000">
      <w:pPr>
        <w:spacing w:after="160" w:line="360" w:lineRule="auto"/>
        <w:jc w:val="both"/>
        <w:rPr>
          <w:lang w:val="en-US"/>
        </w:rPr>
      </w:pPr>
      <w:r>
        <w:rPr>
          <w:lang w:val="en-US"/>
        </w:rPr>
        <w:t>The adoption of the IPCC AR6 risk framework as the primary methodological scaffold is justified on three grounds: its scientific pedigree as the internationally accepted standard for climate impact assessment; its internal consistency across the three analytical pillars; and its direct alignment with the SSP scenarios used to parameterize the SLR projections. By anchoring the study within this framework, the three pillars are not merely parallel analyses conducted under a common scenario set, but constitute an integrated progression from physical hazard through economic exposure to operational risk and adaptation response — a progression that mirrors the structure of the IPCC risk concept itself.</w:t>
      </w:r>
    </w:p>
    <w:p w:rsidR="00F64C2D" w:rsidRPr="00D93D76" w:rsidRDefault="006473E9">
      <w:pPr>
        <w:pStyle w:val="Ttulo2"/>
        <w:spacing w:line="360" w:lineRule="auto"/>
        <w:rPr>
          <w:lang w:val="en-US"/>
        </w:rPr>
      </w:pPr>
      <w:r>
        <w:rPr>
          <w:lang w:val="en-US"/>
        </w:rPr>
        <w:t>2.3 Coastal Flood Inundation Modelling</w:t>
      </w:r>
    </w:p>
    <w:p w:rsidR="00F64C2D" w:rsidRPr="00D93D76" w:rsidRDefault="00000000">
      <w:pPr>
        <w:spacing w:after="160" w:line="360" w:lineRule="auto"/>
        <w:jc w:val="both"/>
        <w:rPr>
          <w:lang w:val="en-US"/>
        </w:rPr>
      </w:pPr>
      <w:r>
        <w:rPr>
          <w:lang w:val="en-US"/>
        </w:rPr>
        <w:t>The spatial delineation of areas exposed to coastal flooding under prescribed SLR scenarios is the foundational step in any SLR impact assessment. Two broad modelling approaches exist in the literature: static inundation models (commonly referred to as "bathtub" models) and hydrodynamic models. Dynamic models, which solve the shallow water equations to simulate the propagation of flood waves in space and time, offer the highest physical fidelity — capturing tidal forcing, storm surge amplification, wave run-up, and the hydraulic connectivity of inundated areas through complex drainage networks. However, their computational requirements scale prohibitively at regional to national scales, and their data requirements — high-resolution near-shore bathymetry, storm surge climatology, and detailed coastal geometry — typically exceed what is available at the sub-national level for countries such as Portugal.</w:t>
      </w:r>
    </w:p>
    <w:p w:rsidR="00F64C2D" w:rsidRPr="00D93D76" w:rsidRDefault="00000000">
      <w:pPr>
        <w:spacing w:after="160" w:line="360" w:lineRule="auto"/>
        <w:jc w:val="both"/>
        <w:rPr>
          <w:lang w:val="en-US"/>
        </w:rPr>
      </w:pPr>
      <w:r>
        <w:rPr>
          <w:lang w:val="en-US"/>
        </w:rPr>
        <w:t xml:space="preserve">Static bathtub models identify all terrain below a specified elevation threshold as potentially inundated, subject to hydrological connectivity to the sea (Poulter &amp; Halpin, 2008). This </w:t>
        <w:lastRenderedPageBreak/>
        <w:t>approach does not capture the temporal dynamics of inundation or the effects of surge events, but is well-established as the standard method for regional-scale screening, economic exposure quantification, and multi-scenario comparison. Poulter and Halpin (2008) demonstrated that connectivity-constrained bathtub models — in which only terrain areas with an unobstructed hydrological pathway to the sea are flagged as inundated — substantially outperform simple elevation thresholding in mapping coastal flood extents, reducing spurious inland inundation artefacts that arise from isolated topographic depressions disconnected from the coastline. Their approach has been widely adopted across the peer-reviewed literature in regional SLR impact studies.</w:t>
      </w:r>
    </w:p>
    <w:p w:rsidR="00F64C2D" w:rsidRPr="00D93D76" w:rsidRDefault="00000000">
      <w:pPr>
        <w:spacing w:after="160" w:line="360" w:lineRule="auto"/>
        <w:jc w:val="both"/>
        <w:rPr>
          <w:lang w:val="en-US"/>
        </w:rPr>
      </w:pPr>
      <w:r>
        <w:rPr>
          <w:lang w:val="en-US"/>
        </w:rPr>
        <w:t>For this study, the Copernicus Digital Elevation Model at 30-metre horizontal resolution (GLO-30) is used as the primary terrain input, providing a consistent, publicly available, and quality-controlled elevation product covering the full Portuguese mainland (European Space Agency, 2021). It is important to note that GLO-30 is a Digital Surface Model (DSM) rather than a bare-earth Digital Terrain Model (DTM): the elevation values it records reflect the top of the built environment — including building rooftops, vegetation canopy, and infrastructure — rather than the underlying terrain. In urbanized coastal cells, this means the model assigns artificially elevated surface heights to densely built areas, systematically underestimating flood extent where development is concentrated. The results of Pillars 1 and 2 should therefore be understood as conservative estimates of static inundation potential rather than hydrodynamically confirmed flood extents. The static bathtub approach is applied for Pillars 1 and 2, where the analytical objective is to quantify the economic output and infrastructure replacement value lying below progressively higher SLR thresholds — a purpose for which the method is empirically appropriate and computationally tractable across twelve NUTS3 regions. The method's limitations, including the DSM surface model effect, the absence of surge dynamics, the assumption of gradual and permanent inundation, and the uniform distribution of GDP across each NUTS3 region, are acknowledged as boundary conditions of the assessment and addressed in the discussion of findings.</w:t>
      </w:r>
    </w:p>
    <w:p w:rsidR="00F64C2D" w:rsidRPr="00D93D76" w:rsidRDefault="007801BB">
      <w:pPr>
        <w:pStyle w:val="Ttulo2"/>
        <w:spacing w:line="360" w:lineRule="auto"/>
        <w:rPr>
          <w:lang w:val="en-US"/>
        </w:rPr>
      </w:pPr>
      <w:r>
        <w:rPr>
          <w:lang w:val="en-US"/>
        </w:rPr>
        <w:t>2.4 Compound Flood Events and Critical Infrastructure</w:t>
      </w:r>
    </w:p>
    <w:p w:rsidR="00F64C2D" w:rsidRPr="00D93D76" w:rsidRDefault="00000000">
      <w:pPr>
        <w:spacing w:after="160" w:line="360" w:lineRule="auto"/>
        <w:jc w:val="both"/>
        <w:rPr>
          <w:lang w:val="en-US"/>
        </w:rPr>
      </w:pPr>
      <w:r>
        <w:rPr>
          <w:lang w:val="en-US"/>
        </w:rPr>
        <w:t xml:space="preserve">While static inundation models address the question of what terrain and assets are permanently exposed to a given SLR level, a distinct and operationally more consequential question concerns how frequently, existing infrastructure sections — currently located above the mean high-water mark — will be temporarily inundated by compound flood events as sea </w:t>
        <w:lastRenderedPageBreak/>
        <w:t>levels rise, and how that frequency changes over time. This question requires a fundamentally different modelling approach.</w:t>
      </w:r>
    </w:p>
    <w:p w:rsidR="00F64C2D" w:rsidRPr="00D93D76" w:rsidRDefault="00000000">
      <w:pPr>
        <w:spacing w:after="160" w:line="360" w:lineRule="auto"/>
        <w:jc w:val="both"/>
        <w:rPr>
          <w:lang w:val="en-US"/>
        </w:rPr>
      </w:pPr>
      <w:r>
        <w:rPr>
          <w:lang w:val="en-US"/>
        </w:rPr>
        <w:t>Moftakhari et al. (2017) established the theoretical and empirical basis for compound flood frequency modelling in the context of SLR. Their central finding, derived from analysis of multiple US tide gauge records and validated against hydrological flood frequency distributions, is that sea-level rise dramatically accelerates the frequency of compound flood events through the additive superposition of the rising baseline on tidal and storm-surge contributions. Specifically, they demonstrated that a 10 cm increment of SLR approximately halves the return period of a given flood stage — a relationship captured by the exponential decay function:</w:t>
      </w:r>
    </w:p>
    <w:p w:rsidR="00F64C2D" w:rsidRPr="00D93D76" w:rsidRDefault="00000000">
      <w:pPr>
        <w:spacing w:after="160" w:line="360" w:lineRule="auto"/>
        <w:jc w:val="both"/>
        <w:rPr>
          <w:lang w:val="en-US"/>
        </w:rPr>
      </w:pPr>
      <w:r>
        <w:rPr>
          <w:i/>
          <w:iCs/>
          <w:lang w:val="en-US"/>
        </w:rPr>
        <w:t>RP(SLR) = RP₀ × exp(−k × SLR)</w:t>
      </w:r>
    </w:p>
    <w:p w:rsidR="00F64C2D" w:rsidRPr="00D93D76" w:rsidRDefault="00000000">
      <w:pPr>
        <w:spacing w:after="160" w:line="360" w:lineRule="auto"/>
        <w:jc w:val="both"/>
        <w:rPr>
          <w:lang w:val="en-US"/>
        </w:rPr>
      </w:pPr>
      <w:r>
        <w:rPr>
          <w:lang w:val="en-US"/>
        </w:rPr>
        <w:t>where RP₀ is the baseline return period (years) at current sea level, SLR is the sea-level rise above the 2020 baseline (meters), and k is the decay constant (Moftakhari et al., 2017). Moftakhari et al. (2017) provide the empirical finding that motivates the specific value adopted here: a 10 cm increment of SLR approximately halves the return period of a given flood stage across a range of US coastal tide gauge records, implying k = ln(2) / 0.10 ≈ 6.93. This value should be understood as the study's calibration of the Moftakhari framework — an Author-defined parameter derived from that empirical finding and applied consistently across all infrastructure sections — rather than a value explicitly tabulated in the source paper. Its sensitivity implications are examined in the methodology chapter. While derived from US tide gauge records, this relationship is applied as a first-order approximation in the absence of Portuguese-specific compound flood frequency studies. This framework has become a standard tool for translating SLR projections into infrastructure closure frequency, and constitutes the core of the compound disruption model applied to all ten critical infrastructure sections in Pillar 3 of this study: the Mondego railway (Alfarelos–Formoselha), the Tagus floodplain railway (Castanheira–Alverca), the Aveiro Ria rail embankment, the Faro–Olhão coastal section of the Linha do Algarve, the Portimão/Arade estuary section of the Linha do Algarve, the Port of Leixões, the Port of Lisbon, the Port of Setúbal, the A14 motorway Mondego crossing, and the A1 motorway estuarine segment. These ten sections are analyzed across eight modelling scripts; the three major commercial ports are assessed within a single unified port framework.</w:t>
      </w:r>
    </w:p>
    <w:p w:rsidR="00F64C2D" w:rsidRPr="00D93D76" w:rsidRDefault="00000000">
      <w:pPr>
        <w:spacing w:after="160" w:line="360" w:lineRule="auto"/>
        <w:jc w:val="both"/>
        <w:rPr>
          <w:lang w:val="en-US"/>
        </w:rPr>
      </w:pPr>
      <w:r>
        <w:rPr>
          <w:lang w:val="en-US"/>
        </w:rPr>
        <w:t xml:space="preserve">The implications for critical infrastructure are severe and non-linear. A railway section that currently floods with a return period of ten years will, under this framework, experience </w:t>
        <w:lastRenderedPageBreak/>
        <w:t>flooding with a return period of approximately 2.5 years at +20 cm SLR — a fourfold increase in annual closure frequency. As cumulative closure days per year increase, they approach a physical ceiling of 365 days, at which point the infrastructure section can be considered functionally non-operational on an effectively permanent basis. This qualitative transition from periodic disruption to a modelled non-operational state represents a threshold condition with systemic implications for the transport networks and supply chains that depend on the affected sections. Under a no-adaptation assumption, infrastructure at or below this threshold should be understood as having reached an upper-bound modelled ceiling, not as a deterministic prediction of failure. The physical plausibility of this ceiling is enforced throughout the model by capping annual closure days at 365 — any exceedance represents infrastructure that, under the modelled no-adaptation scenario, has effectively reached the operational ceiling.</w:t>
      </w:r>
    </w:p>
    <w:p w:rsidR="00F64C2D" w:rsidRPr="00D93D76" w:rsidRDefault="00436F0A">
      <w:pPr>
        <w:pStyle w:val="Ttulo2"/>
        <w:spacing w:line="360" w:lineRule="auto"/>
        <w:rPr>
          <w:lang w:val="en-US"/>
        </w:rPr>
      </w:pPr>
      <w:r>
        <w:rPr>
          <w:lang w:val="en-US"/>
        </w:rPr>
        <w:t>2.5 Infrastructure Disruption and Economic Costs</w:t>
      </w:r>
    </w:p>
    <w:p w:rsidR="00F64C2D" w:rsidRPr="00D93D76" w:rsidRDefault="00000000">
      <w:pPr>
        <w:spacing w:after="160" w:line="360" w:lineRule="auto"/>
        <w:jc w:val="both"/>
        <w:rPr>
          <w:lang w:val="en-US"/>
        </w:rPr>
      </w:pPr>
      <w:r>
        <w:rPr>
          <w:lang w:val="en-US"/>
        </w:rPr>
        <w:t>The economic quantification of infrastructure disruption costs is a methodologically contested domain. For transport and port infrastructure, two broad approaches exist in the literature: cargo-value methods and disruption-rate methods. Cargo-value methods estimate economic costs as a fraction of the total value of goods or passengers delayed, based on market valuations, inventory holding cost assumptions, and modal shift penalties. This approach has intuitive appeal but produces results that conflate the gross value of goods in transit with the marginal economic loss from delay — the vast majority of which consists of postponed rather than permanently lost transactions.</w:t>
      </w:r>
    </w:p>
    <w:p w:rsidR="00F64C2D" w:rsidRPr="00D93D76" w:rsidRDefault="00000000">
      <w:pPr>
        <w:spacing w:after="160" w:line="360" w:lineRule="auto"/>
        <w:jc w:val="both"/>
        <w:rPr>
          <w:lang w:val="en-US"/>
        </w:rPr>
      </w:pPr>
      <w:r>
        <w:rPr>
          <w:lang w:val="en-US"/>
        </w:rPr>
        <w:t xml:space="preserve">The limitations of cargo-value approaches were starkly exposed by the empirical evidence from the Suez Canal blockage of March 2021, when the containership </w:t>
      </w:r>
      <w:r>
        <w:rPr>
          <w:i/>
          <w:iCs/>
          <w:lang w:val="en-US"/>
        </w:rPr>
        <w:t>Ever Given</w:t>
      </w:r>
      <w:r>
        <w:rPr>
          <w:lang w:val="en-US"/>
        </w:rPr>
        <w:t xml:space="preserve"> obstructed global maritime trade for approximately six days. The event delayed an estimated €26.5 billion in cargo, yet realized economic losses were substantially lower than the headline cargo value, as the overwhelming majority of shipments were rerouted or rescheduled with limited terminal disruption (Tran et al., 2025). Tran et al. (2025) estimated the direct supply chain cost at 3–7% of delayed cargo value per week of disruption. This empirical grounding motivated the development of Critical Daily Disruption Rate (CDDR) frameworks, which express disruption costs as a daily rate applied to actual closure days, rather than as a fraction of throughput value.</w:t>
      </w:r>
    </w:p>
    <w:p w:rsidR="00F64C2D" w:rsidRPr="00D93D76" w:rsidRDefault="00000000">
      <w:pPr>
        <w:spacing w:after="160" w:line="360" w:lineRule="auto"/>
        <w:jc w:val="both"/>
        <w:rPr>
          <w:lang w:val="en-US"/>
        </w:rPr>
      </w:pPr>
      <w:r>
        <w:rPr>
          <w:lang w:val="en-US"/>
        </w:rPr>
        <w:lastRenderedPageBreak/>
        <w:t>The CDDR approach adopted in this study captures three nested layers of economic impact. The low band captures direct operational costs: vessel diversion fees, emergency logistics surcharges, perishable cargo losses, and immediate freight delay penalties. The mid band adds indirect costs: supply chain reordering penalties, modal shift costs (rail to road, sea to air), and productivity losses at dependent production facilities. The high band further incorporates systemic costs: confidence effects on trade routing decisions, induced economic losses from production disruptions at just-in-time dependent manufacturers, and reputational impacts on investment flows. This structure is calibrated to the Portuguese infrastructure context — notably the Auto Europa/Volkswagen production complex at Setúbal, where just-in-time supply chain dependencies create acute sensitivity to port disruption.</w:t>
      </w:r>
    </w:p>
    <w:p w:rsidR="00F64C2D" w:rsidRPr="00D93D76" w:rsidRDefault="00000000">
      <w:pPr>
        <w:spacing w:after="160" w:line="360" w:lineRule="auto"/>
        <w:jc w:val="both"/>
        <w:rPr>
          <w:lang w:val="en-US"/>
        </w:rPr>
      </w:pPr>
      <w:r>
        <w:rPr>
          <w:lang w:val="en-US"/>
        </w:rPr>
        <w:t>Adaptation cost-benefit analysis for climate-exposed infrastructure presents additional methodological challenges. The choice of discount rate substantially influences the present value of costs that accrue predominantly in the post-2050 period. The Stern Review (Stern, 2006) argued for near-zero social discount rates in climate policy analysis, on the grounds that standard market discount rates systematically undervalue the welfare of future generations. Weitzman (Weitzman, 2007) demonstrated that the appropriate discount rate for long-horizon environmental projects is inherently uncertain and should decline over time. In response to this debate, and to preserve the transparency of nominal cost comparisons across scenarios, this study reports cumulative disruption costs without NPV discounting — presenting costs in nominal terms as they would be incurred, and allowing the adaptation break-even analysis to be read directly against nominal infrastructure expenditures.</w:t>
      </w:r>
    </w:p>
    <w:p w:rsidR="00F64C2D" w:rsidRPr="00D93D76" w:rsidRDefault="007801BB">
      <w:pPr>
        <w:pStyle w:val="Ttulo2"/>
        <w:spacing w:line="360" w:lineRule="auto"/>
        <w:rPr>
          <w:lang w:val="en-US"/>
        </w:rPr>
      </w:pPr>
      <w:r>
        <w:rPr>
          <w:lang w:val="en-US"/>
        </w:rPr>
        <w:t>2.6 The Portuguese Coastal Context</w:t>
      </w:r>
    </w:p>
    <w:p w:rsidR="00F64C2D" w:rsidRPr="00D93D76" w:rsidRDefault="00000000">
      <w:pPr>
        <w:spacing w:after="160" w:line="360" w:lineRule="auto"/>
        <w:jc w:val="both"/>
        <w:rPr>
          <w:lang w:val="en-US"/>
        </w:rPr>
      </w:pPr>
      <w:r>
        <w:rPr>
          <w:lang w:val="en-US"/>
        </w:rPr>
        <w:t>Portugal's Atlantic coastline extends approximately 943 kilometers along the western and southern margins of the Iberian Peninsula, encompassing a diverse range of coastal geomorphologies: exposed rocky headlands, barrier-beach systems, complex estuarine environments, and low-lying alluvial floodplains. Of Portugal's mainland NUTS3 regions, twelve have direct coastal or estuarine exposure and are therefore subject to the SLR impacts quantified in this study. The remaining interior regions are included in the NUTS3 spatial database but record negligible flood exposure under all scenarios and are classified accordingly.</w:t>
      </w:r>
    </w:p>
    <w:p w:rsidR="00F64C2D" w:rsidRPr="00D93D76" w:rsidRDefault="00000000">
      <w:pPr>
        <w:spacing w:after="160" w:line="360" w:lineRule="auto"/>
        <w:jc w:val="both"/>
        <w:rPr>
          <w:lang w:val="en-US"/>
        </w:rPr>
      </w:pPr>
      <w:r>
        <w:rPr>
          <w:lang w:val="en-US"/>
        </w:rPr>
        <w:lastRenderedPageBreak/>
        <w:t>Observational sea level records at Portuguese tide gauges provide the primary empirical basis for assessing historical SLR trends and validating scenario consistency. The Cascais record, dating to 1882, is the longest continuous tide gauge series in Portugal and has been used extensively in national and European sea level studies. Records at Leixões (commencing 1956) and Sines (commencing 1977) extend the observational network to the northern and southern Atlantic coast respectively. Analysis of these records reveals a clear acceleration in the rate of SLR in the post-1993 satellite altimetry era: the full-record trends at Leixões (+0.96 mm/yr) and Sines (+3.31 mm/yr) are substantially exceeded by post-1993 trends of +3.16 mm/yr and +5.06 mm/yr respectively (PSMSL, 2024), consistent with the global acceleration to approximately 3.7 mm/yr in the satellite altimetry era (Fox-Kemper et al., 2021).</w:t>
      </w:r>
    </w:p>
    <w:p w:rsidR="00F64C2D" w:rsidRPr="00D93D76" w:rsidRDefault="00000000">
      <w:pPr>
        <w:spacing w:after="160" w:line="360" w:lineRule="auto"/>
        <w:jc w:val="both"/>
        <w:rPr>
          <w:lang w:val="en-US"/>
        </w:rPr>
      </w:pPr>
      <w:r>
        <w:rPr>
          <w:lang w:val="en-US"/>
        </w:rPr>
        <w:t>Five estuarine and lagoonal systems merit particular attention given their combination of low-elevation terrain, hydraulic connectivity to the sea, and proximity to critical national infrastructure. The Ria de Aveiro is a shallow coastal lagoon in north-central Portugal, connected to the Atlantic through a single engineered tidal inlet at Barra–Costa Nova. Lopes et al. (2011) demonstrated that the lagoon system is acutely sensitive to SLR, with even modest increases in mean sea level substantially enlarging the inundated area within the lagoon perimeter under compound storm and tide conditions. The railway network operated by CP (Comboios de Portugal) runs through the western fringe of the lagoon on an embankment at approximately 0.7–1.2 meters above mean sea level, making it one of the most vulnerable sections of the national network. The hydraulic protective function of the Barra–Costa Nova barrier system is treated in this study as a binary threshold (Fortunato et al., 2013): barrier integrity is assumed intact below a critical SLR threshold, and catastrophic barrier overtopping or breach is assumed above it, consistent with the irreversible nature of tidal inlet dynamics at this scale.</w:t>
      </w:r>
    </w:p>
    <w:p w:rsidR="00F64C2D" w:rsidRPr="00D93D76" w:rsidRDefault="00000000">
      <w:pPr>
        <w:spacing w:after="160" w:line="360" w:lineRule="auto"/>
        <w:jc w:val="both"/>
        <w:rPr>
          <w:lang w:val="en-US"/>
        </w:rPr>
      </w:pPr>
      <w:r>
        <w:rPr>
          <w:lang w:val="en-US"/>
        </w:rPr>
        <w:t xml:space="preserve">The Tagus estuary — Portugal's largest, extending approximately 56 km inland from Lisbon — presents a distinct risk profile. The Tagus floodplain between Castanheira do Ribatejo and Alverca forms one of the lowest-lying sections of the national railway network, running at approximately 2.0 meters above mean sea level at its most vulnerable points (Author’s analysis; European Space Agency, 2021). The Tagus valley has a documented history of catastrophic compound flood events in which coincident elevated river discharge, storm surge, and high spring tides produce inundation extents significantly exceeding those attributable to any single mechanism (Fernández-Nóvoa et al., 2024; Moftakhari et al., 2017). </w:t>
        <w:lastRenderedPageBreak/>
        <w:t>The Mondego River valley in central Portugal constitutes a third high-risk corridor where national transport infrastructure crosses a coastal plain in close proximity to tidal influence. The CP railway section between Alfarelos and Formoselha runs at approximately 4–9 meters above mean sea level and is therefore outside the direct inundation envelope, but is exposed to flood risk through the same fluvial-tidal backwater mechanism: rising sea levels progressively constrain estuarine drainage, compounding the frequency and severity of river flood events upstream. The A14 motorway Mondego crossing operates under an equivalent mechanism and is included in the study on the same basis.</w:t>
      </w:r>
    </w:p>
    <w:p w:rsidR="00F64C2D" w:rsidRPr="00D93D76" w:rsidRDefault="00000000">
      <w:pPr>
        <w:spacing w:after="160" w:line="360" w:lineRule="auto"/>
        <w:jc w:val="both"/>
        <w:rPr>
          <w:lang w:val="en-US"/>
        </w:rPr>
      </w:pPr>
      <w:r>
        <w:rPr>
          <w:lang w:val="en-US"/>
        </w:rPr>
        <w:t>In southern Portugal, the Ria Formosa is a barrier-island lagoon system extending approximately 60 km along the Algarve coast between Faro and Tavira. The Linha do Algarve — the main regional railway — runs along the inner margin of the lagoon at low elevation in its Faro–Olhão segment, exposing it to compound coastal and lagoonal flooding as sea levels rise. The lagoon system is well documented as highly sensitive to sea-level change, with its barrier islands subject to progressive erosion and overtopping that will accelerate under projected SLR trajectories (Vousdoukas et al., 2016). A fifth system — the Arade estuary near Portimão — is a tidal inlet system in the western Algarve. The Linha do Algarve crosses the Arade river mouth at low elevation, exposing it to tidal inundation under compound flood conditions. Because the Portimão/Arade section presents a very high baseline flood frequency even at current sea levels — effectively rendering it a near-permanent closure risk under any significant SLR scenario — the section is treated in this study as an adaptation-only case: disruption costs are not modelled separately, but adaptation investment requirements and break-even timelines are fully assessed. Three infrastructure assets were evaluated but excluded from the Pillar 3 scope: the Port of Sines, whose deep-water berths sit above the compound flood envelope; Faro Airport, whose runway elevation of approximately 7.3 meters above mean sea level places it outside the SLR envelope for all scenarios through 2100; and the Vasco da Gama Bridge southern approach, which could not be consistently validated against the raise_requirements framework applied uniformly to all other sections.</w:t>
      </w:r>
    </w:p>
    <w:p w:rsidR="00F64C2D" w:rsidRPr="00D93D76" w:rsidRDefault="00000000">
      <w:pPr>
        <w:spacing w:after="160" w:line="360" w:lineRule="auto"/>
        <w:jc w:val="both"/>
        <w:rPr>
          <w:lang w:val="en-US"/>
        </w:rPr>
      </w:pPr>
      <w:r>
        <w:rPr>
          <w:lang w:val="en-US"/>
        </w:rPr>
        <w:t>The economic geography of coastal Portugal further amplifies the risk. The Grande Lisboa NUTS3 region — encompassing Lisbon and its immediate hinterland — concentrates a disproportionate share of national GDP and infrastructure replacement value within a relatively compact coastal urban agglomeration exposed to Tagus estuary flooding; the specific quantification of this exposure is presented in the results. The three major commercial ports mentioned in this study — Leixões (Porto), Lisbon, and Setúbal — collectively handled approximately 32 million tonnes of cargo in 2024 (Ports Europe, 2024) and constitute critical nodes in Portugal’s external trade network.</w:t>
      </w:r>
    </w:p>
    <w:p w:rsidR="00F64C2D" w:rsidRPr="00D93D76" w:rsidRDefault="00117267">
      <w:pPr>
        <w:pStyle w:val="Ttulo2"/>
        <w:spacing w:line="360" w:lineRule="auto"/>
        <w:rPr>
          <w:lang w:val="en-US"/>
        </w:rPr>
      </w:pPr>
      <w:r>
        <w:rPr>
          <w:lang w:val="en-US"/>
        </w:rPr>
        <w:t>2.7 Relative Sea Level Rise and Geoid Corrections</w:t>
      </w:r>
    </w:p>
    <w:p w:rsidR="00F64C2D" w:rsidRPr="00D93D76" w:rsidRDefault="00000000">
      <w:pPr>
        <w:spacing w:after="160" w:line="360" w:lineRule="auto"/>
        <w:jc w:val="both"/>
        <w:rPr>
          <w:lang w:val="en-US"/>
        </w:rPr>
      </w:pPr>
      <w:r>
        <w:rPr>
          <w:lang w:val="en-US"/>
        </w:rPr>
        <w:t>A systematic distinction must be drawn between global mean sea level (GMSL) rise — the quantity reported by IPCC AR6 and measured by satellite altimetry — and relative sea-level rise (RSLR), which is the operationally relevant quantity for coastal infrastructure planning. RSLR is defined as the change in sea level relative to the local land surface, incorporating both GMSL rise and vertical land motion (VLM). Where land is subsiding — as in many sedimentary river deltas and tectonically active coastal zones — RSLR exceeds GMSL rise, amplifying the physical impact of a given emissions scenario. Conversely, post-glacial isostatic uplift in Scandinavia produces negative VLM that counteracts GMSL rise, reducing RSLR.</w:t>
      </w:r>
    </w:p>
    <w:p w:rsidR="00F64C2D" w:rsidRPr="00D93D76" w:rsidRDefault="00000000">
      <w:pPr>
        <w:spacing w:after="160" w:line="360" w:lineRule="auto"/>
        <w:jc w:val="both"/>
        <w:rPr>
          <w:lang w:val="en-US"/>
        </w:rPr>
      </w:pPr>
      <w:r>
        <w:rPr>
          <w:lang w:val="en-US"/>
        </w:rPr>
        <w:t xml:space="preserve">Because coastal impact studies depend on consistent vertical reference frames, this study includes a +0.15 m geoid-offset sensitivity case to test the effect of a plausible elevation-reference mismatch (Seeger &amp; Minderhoud, 2026). This offset is not treated as a confirmed universal Atlantic correction; it is a conservative sensitivity scenario designed to assess how sensitive exposure estimates are to reference-frame uncertainty between the Copernicus DEM surface and the tide gauge baseline. The sensitivity is particularly consequential in the near term: at 2030, when SSP5-8.5 projects only 0.13 meters of GMSL rise above the 2020 </w:t>
        <w:lastRenderedPageBreak/>
        <w:t>baseline, a +0.15 m offset more than doubles the effective SLR signal. By 2100, under SSP5-8.5, the +Geoid variant increases total projected SLR from 1.00 to 1.15 meters, yielding expanded flood zones and accelerated infrastructure disruption frequencies relative to the baseline projection.</w:t>
      </w:r>
    </w:p>
    <w:p w:rsidR="00F64C2D" w:rsidRPr="00D93D76" w:rsidRDefault="00E62FDE">
      <w:pPr>
        <w:pStyle w:val="Ttulo2"/>
        <w:spacing w:line="360" w:lineRule="auto"/>
        <w:rPr>
          <w:lang w:val="en-US"/>
        </w:rPr>
      </w:pPr>
      <w:r>
        <w:rPr>
          <w:lang w:val="en-US"/>
        </w:rPr>
        <w:t>2.8 Machine Learning in Spatial Risk Classification</w:t>
      </w:r>
    </w:p>
    <w:p w:rsidR="00F64C2D" w:rsidRPr="00D93D76" w:rsidRDefault="00000000">
      <w:pPr>
        <w:spacing w:after="160" w:line="360" w:lineRule="auto"/>
        <w:jc w:val="both"/>
        <w:rPr>
          <w:lang w:val="en-US"/>
        </w:rPr>
      </w:pPr>
      <w:r>
        <w:rPr>
          <w:lang w:val="en-US"/>
        </w:rPr>
        <w:t xml:space="preserve">Unsupervised machine learning methods — and </w:t>
      </w:r>
      <w:r>
        <w:rPr>
          <w:highlight w:val="yellow"/>
          <w:lang w:val="en-US"/>
        </w:rPr>
        <w:t>K-Means clustering in particular</w:t>
      </w:r>
      <w:r>
        <w:rPr>
          <w:lang w:val="en-US"/>
        </w:rPr>
        <w:t xml:space="preserve"> — have found increasing application in spatial risk assessment, environmental zoning, and geographic classification tasks. K-Means clustering, first formalized by MacQueen (1967), partitions a dataset of </w:t>
      </w:r>
      <w:r>
        <w:rPr>
          <w:i/>
          <w:iCs/>
          <w:lang w:val="en-US"/>
        </w:rPr>
        <w:t>n</w:t>
      </w:r>
      <w:r>
        <w:rPr>
          <w:lang w:val="en-US"/>
        </w:rPr>
        <w:t xml:space="preserve"> observations into </w:t>
      </w:r>
      <w:r>
        <w:rPr>
          <w:i/>
          <w:iCs/>
          <w:lang w:val="en-US"/>
        </w:rPr>
        <w:t>k</w:t>
      </w:r>
      <w:r>
        <w:rPr>
          <w:lang w:val="en-US"/>
        </w:rPr>
        <w:t xml:space="preserve"> clusters by iteratively minimizing the within-cluster sum of squared Euclidean distances to the cluster centroid. The algorithm does not require prior knowledge of group membership; it identifies natural groupings in the feature space based on the multi-dimensional similarity of observations, without the analyst imposing arbitrary thresholds on individual variables.</w:t>
      </w:r>
    </w:p>
    <w:p w:rsidR="00F64C2D" w:rsidRPr="007801BB" w:rsidRDefault="00000000">
      <w:pPr>
        <w:spacing w:after="160" w:line="360" w:lineRule="auto"/>
        <w:jc w:val="both"/>
        <w:rPr>
          <w:lang w:val="en-US"/>
        </w:rPr>
      </w:pPr>
      <w:r>
        <w:rPr>
          <w:lang w:val="en-US"/>
        </w:rPr>
        <w:t>In the context of coastal risk classification, K-Means clustering offers a principled and reproducible method for stratifying geographic units into risk tiers based on multi-dimensional exposure profiles. Unlike threshold-based classification — in which tiers are defined by applying fixed cut-points to a single indicator such as flooded area or GDP at risk — clustering operates simultaneously across all input dimensions, producing tiers that reflect the overall similarity of risk profiles across the full feature space. This is particularly appropriate for coastal NUTS3 regions, where flood risk is jointly determined by the physical extent of inundation (flooded pixels), the economic intensity of exposed activity (GDP at risk), the relative exposure of the region (fraction of total area flooded), and the replacement value of exposed infrastructure — dimensions that are positively correlated but not collinear, and no single one of which is sufficient to characterize the overall risk profile.</w:t>
      </w:r>
    </w:p>
    <w:p w:rsidR="00F64C2D" w:rsidRPr="00D93D76" w:rsidRDefault="00000000">
      <w:pPr>
        <w:spacing w:after="160" w:line="360" w:lineRule="auto"/>
        <w:jc w:val="both"/>
        <w:rPr>
          <w:lang w:val="en-US"/>
        </w:rPr>
      </w:pPr>
      <w:r>
        <w:rPr>
          <w:lang w:val="en-US"/>
        </w:rPr>
        <w:t xml:space="preserve">The selection of the optimal number of clusters </w:t>
      </w:r>
      <w:r>
        <w:rPr>
          <w:i/>
          <w:iCs/>
          <w:lang w:val="en-US"/>
        </w:rPr>
        <w:t>k</w:t>
      </w:r>
      <w:r>
        <w:rPr>
          <w:lang w:val="en-US"/>
        </w:rPr>
        <w:t xml:space="preserve"> is a methodological decision that balances statistical parsimony with policy interpretability. Two complementary diagnostic tools are standard in the literature: the elbow method, which plots within-cluster inertia (total within-cluster sum of squares) against </w:t>
      </w:r>
      <w:r>
        <w:rPr>
          <w:i/>
          <w:iCs/>
          <w:lang w:val="en-US"/>
        </w:rPr>
        <w:t>k</w:t>
      </w:r>
      <w:r>
        <w:rPr>
          <w:lang w:val="en-US"/>
        </w:rPr>
        <w:t xml:space="preserve"> and identifies the value beyond which additional clusters yield diminishing reductions in inertia; and the silhouette score, which measures the cohesion and separation of clusters on a scale from −1 to +1, with values approaching +1 indicating well-separated and internally coherent clusters. In policy-facing applications, the analyst may </w:t>
        <w:lastRenderedPageBreak/>
        <w:t xml:space="preserve">judiciously override the statistically optimal </w:t>
      </w:r>
      <w:r>
        <w:rPr>
          <w:i/>
          <w:iCs/>
          <w:lang w:val="en-US"/>
        </w:rPr>
        <w:t>k</w:t>
      </w:r>
      <w:r>
        <w:rPr>
          <w:lang w:val="en-US"/>
        </w:rPr>
        <w:t xml:space="preserve"> in favor of a value that produces a number of tiers actionable in regulatory or planning contexts, provided the rationale is transparently documented and the resulting silhouette score remains acceptably high. The specific clustering decisions taken in this study — including the choice of </w:t>
      </w:r>
      <w:r>
        <w:rPr>
          <w:i/>
          <w:iCs/>
          <w:lang w:val="en-US"/>
        </w:rPr>
        <w:t>k</w:t>
      </w:r>
      <w:r>
        <w:rPr>
          <w:lang w:val="en-US"/>
        </w:rPr>
        <w:t>, the input feature set, and the resulting risk tier labels — are described in the methodology chapter. This approach is used in the present study to classify coastal regions into relative risk tiers based on multi-dimensional exposure profiles.</w:t>
      </w:r>
    </w:p>
    <w:p w:rsidR="00F64C2D" w:rsidRPr="00D93D76" w:rsidRDefault="007801BB">
      <w:pPr>
        <w:pStyle w:val="Ttulo2"/>
        <w:spacing w:line="360" w:lineRule="auto"/>
        <w:rPr>
          <w:lang w:val="en-US"/>
        </w:rPr>
      </w:pPr>
      <w:r>
        <w:rPr>
          <w:lang w:val="en-US"/>
        </w:rPr>
        <w:t>2.9 Statistical Methods for Sea Level Trend Detection</w:t>
      </w:r>
    </w:p>
    <w:p w:rsidR="00F64C2D" w:rsidRPr="00D93D76" w:rsidRDefault="00000000">
      <w:pPr>
        <w:spacing w:after="160" w:line="360" w:lineRule="auto"/>
        <w:jc w:val="both"/>
        <w:rPr>
          <w:lang w:val="en-US"/>
        </w:rPr>
      </w:pPr>
      <w:r>
        <w:rPr>
          <w:lang w:val="en-US"/>
        </w:rPr>
        <w:t xml:space="preserve">Linear regression is the foundational statistical tool for detecting long-term trends in geophysical time series, including sea level records. Given a time series of annual mean sea levels </w:t>
      </w:r>
      <w:r>
        <w:rPr>
          <w:i/>
          <w:iCs/>
          <w:lang w:val="en-US"/>
        </w:rPr>
        <w:t>y</w:t>
      </w:r>
      <w:r>
        <w:rPr>
          <w:lang w:val="en-US"/>
        </w:rPr>
        <w:t xml:space="preserve">ₜ at years </w:t>
      </w:r>
      <w:r>
        <w:rPr>
          <w:i/>
          <w:iCs/>
          <w:lang w:val="en-US"/>
        </w:rPr>
        <w:t>x</w:t>
      </w:r>
      <w:r>
        <w:rPr>
          <w:lang w:val="en-US"/>
        </w:rPr>
        <w:t xml:space="preserve">ₜ, ordinary least squares (OLS) regression estimates the parameters of the linear model </w:t>
      </w:r>
      <w:r>
        <w:rPr>
          <w:i/>
          <w:iCs/>
          <w:lang w:val="en-US"/>
        </w:rPr>
        <w:t xml:space="preserve">y = </w:t>
      </w:r>
      <w:r>
        <w:rPr>
          <w:i/>
          <w:iCs/>
        </w:rPr>
        <w:t>α</w:t>
      </w:r>
      <w:r>
        <w:rPr>
          <w:i/>
          <w:iCs/>
          <w:lang w:val="en-US"/>
        </w:rPr>
        <w:t xml:space="preserve"> + </w:t>
      </w:r>
      <w:r>
        <w:rPr>
          <w:i/>
          <w:iCs/>
        </w:rPr>
        <w:t>β</w:t>
      </w:r>
      <w:r>
        <w:rPr>
          <w:i/>
          <w:iCs/>
          <w:lang w:val="en-US"/>
        </w:rPr>
        <w:t xml:space="preserve">x + </w:t>
      </w:r>
      <w:r>
        <w:rPr>
          <w:i/>
          <w:iCs/>
        </w:rPr>
        <w:t>ε</w:t>
      </w:r>
      <w:r>
        <w:rPr>
          <w:lang w:val="en-US"/>
        </w:rPr>
        <w:t xml:space="preserve">, where </w:t>
      </w:r>
      <w:r>
        <w:rPr>
          <w:i/>
          <w:iCs/>
        </w:rPr>
        <w:t>β</w:t>
      </w:r>
      <w:r>
        <w:rPr>
          <w:lang w:val="en-US"/>
        </w:rPr>
        <w:t xml:space="preserve"> is the trend rate (meters per year), </w:t>
      </w:r>
      <w:r>
        <w:rPr>
          <w:i/>
          <w:iCs/>
        </w:rPr>
        <w:t>α</w:t>
      </w:r>
      <w:r>
        <w:rPr>
          <w:lang w:val="en-US"/>
        </w:rPr>
        <w:t xml:space="preserve"> is the intercept, and </w:t>
      </w:r>
      <w:r>
        <w:rPr>
          <w:i/>
          <w:iCs/>
        </w:rPr>
        <w:t>ε</w:t>
      </w:r>
      <w:r>
        <w:rPr>
          <w:lang w:val="en-US"/>
        </w:rPr>
        <w:t xml:space="preserve"> is the residual. The OLS estimator is the Best Linear Unbiased Estimator (BLUE) under the Gauss-Markov assumptions, and the statistical significance of the estimated trend is assessed via the </w:t>
      </w:r>
      <w:r>
        <w:rPr>
          <w:i/>
          <w:iCs/>
          <w:lang w:val="en-US"/>
        </w:rPr>
        <w:t>t</w:t>
      </w:r>
      <w:r>
        <w:rPr>
          <w:lang w:val="en-US"/>
        </w:rPr>
        <w:t xml:space="preserve">-statistic with </w:t>
      </w:r>
      <w:r>
        <w:rPr>
          <w:i/>
          <w:iCs/>
          <w:lang w:val="en-US"/>
        </w:rPr>
        <w:t>n</w:t>
      </w:r>
      <w:r>
        <w:rPr>
          <w:lang w:val="en-US"/>
        </w:rPr>
        <w:t xml:space="preserve"> − 2 degrees of freedom, yielding a </w:t>
      </w:r>
      <w:r>
        <w:rPr>
          <w:i/>
          <w:iCs/>
          <w:lang w:val="en-US"/>
        </w:rPr>
        <w:t>p</w:t>
      </w:r>
      <w:r>
        <w:rPr>
          <w:lang w:val="en-US"/>
        </w:rPr>
        <w:t>-value that quantifies the probability of observing a trend of the estimated magnitude under the null hypothesis of no trend.</w:t>
      </w:r>
    </w:p>
    <w:p w:rsidR="00F64C2D" w:rsidRPr="00D93D76" w:rsidRDefault="00000000">
      <w:pPr>
        <w:spacing w:after="160" w:line="360" w:lineRule="auto"/>
        <w:jc w:val="both"/>
        <w:rPr>
          <w:lang w:val="en-US"/>
        </w:rPr>
      </w:pPr>
      <w:r>
        <w:rPr>
          <w:lang w:val="en-US"/>
        </w:rPr>
        <w:t xml:space="preserve">Annual mean sea levels are computed from monthly observations, with quality-flagged records excluded, to remove the seasonal cycle introduced by thermosteric and atmospheric forcing, and to reduce the influence of individual storm events on the trend estimate. The 95% confidence interval on the trend rate, derived from the standard error of the OLS slope estimator and the critical </w:t>
      </w:r>
      <w:r>
        <w:rPr>
          <w:i/>
          <w:iCs/>
          <w:lang w:val="en-US"/>
        </w:rPr>
        <w:t>t</w:t>
      </w:r>
      <w:r>
        <w:rPr>
          <w:lang w:val="en-US"/>
        </w:rPr>
        <w:t xml:space="preserve">-value for </w:t>
      </w:r>
      <w:r>
        <w:rPr>
          <w:i/>
          <w:iCs/>
          <w:lang w:val="en-US"/>
        </w:rPr>
        <w:t>n</w:t>
      </w:r>
      <w:r>
        <w:rPr>
          <w:lang w:val="en-US"/>
        </w:rPr>
        <w:t xml:space="preserve"> − 2 degrees of freedom, provides a measure of estimation uncertainty that is directly relevant for scenario consistency assessment: if the observed post-1993 trend at Portuguese tide gauges falls within the range of IPCC AR6 projected rates for a given SSP scenario, this constitutes indicative evidence of consistency between the observational record and the forward projection. The tide gauge data used in this study are sourced from the Permanent Service for Mean Sea Level (PSMSL), which maintains quality-controlled monthly records for Leixões (from 1956) and Sines (from 1977), providing 67 and 46 years of data respectively. It should be noted that PSMSL flags the Leixões records prior to 1965 as potentially suspect; the full-record OLS trend from 1956 is therefore treated as a sensitivity-checked estimate rather than a definitive long-run trend. The post-1965 series </w:t>
        <w:lastRenderedPageBreak/>
        <w:t>serves as the primary basis for consistency comparison with IPCC AR6 projected rates, and both estimates are reported to provide a transparent range.</w:t>
      </w:r>
    </w:p>
    <w:p w:rsidR="00F64C2D" w:rsidRPr="00D93D76" w:rsidRDefault="007801BB">
      <w:pPr>
        <w:pStyle w:val="Ttulo2"/>
        <w:spacing w:line="360" w:lineRule="auto"/>
        <w:rPr>
          <w:lang w:val="en-US"/>
        </w:rPr>
      </w:pPr>
      <w:r>
        <w:rPr>
          <w:lang w:val="en-US"/>
        </w:rPr>
        <w:t>2.10 Synthesis and Research Positioning</w:t>
      </w:r>
    </w:p>
    <w:p w:rsidR="00F64C2D" w:rsidRPr="00D93D76" w:rsidRDefault="00000000">
      <w:pPr>
        <w:spacing w:after="160" w:line="360" w:lineRule="auto"/>
        <w:jc w:val="both"/>
        <w:rPr>
          <w:lang w:val="en-US"/>
        </w:rPr>
      </w:pPr>
      <w:r>
        <w:rPr>
          <w:lang w:val="en-US"/>
        </w:rPr>
        <w:t>The foregoing review reveals a well-developed body of knowledge across the constituent methodological domains of this study: global SLR projections and their regional expressions; coastal inundation modelling approaches and their appropriate scales of application; compound flood frequency models and their implications for infrastructure operational continuity; economic frameworks for quantifying infrastructure disruption costs; and the Portuguese coastal environment and its specific vulnerabilities.</w:t>
      </w:r>
    </w:p>
    <w:p w:rsidR="00F64C2D" w:rsidRPr="00D93D76" w:rsidRDefault="00000000">
      <w:pPr>
        <w:spacing w:after="160" w:line="360" w:lineRule="auto"/>
        <w:jc w:val="both"/>
        <w:rPr>
          <w:lang w:val="en-US"/>
        </w:rPr>
      </w:pPr>
      <w:r>
        <w:rPr>
          <w:lang w:val="en-US"/>
        </w:rPr>
        <w:t>What is notably absent from the existing literature is a comprehensive, multi-pillar economic quantification of SLR impacts specifically for coastal mainland Portugal that integrates static exposure assessment (Pillars 1 and 2) with dynamic infrastructure disruption modelling (Pillar 3) and adaptation break-even analysis within a single coherent analytical framework applied consistently across scenarios and geoid correction variants. Existing Portuguese studies have tended to focus on individual estuarine systems — the Ria de Aveiro, the Tagus estuary — or broad national-scale flood exposure mapping, without extending the analysis to the economic disruption of critical transport networks or the comparative timing of adaptation investments. At the national scale, no prior study has quantified the cumulative cost of inaction across the full suite of coastal transport infrastructure under IPCC AR6 scenarios with an explicit compound flood frequency model.</w:t>
      </w:r>
    </w:p>
    <w:p w:rsidR="00F64C2D" w:rsidRPr="00D93D76" w:rsidRDefault="00000000">
      <w:pPr>
        <w:spacing w:after="160" w:line="360" w:lineRule="auto"/>
        <w:jc w:val="both"/>
        <w:rPr>
          <w:lang w:val="en-US"/>
        </w:rPr>
      </w:pPr>
      <w:r>
        <w:rPr>
          <w:lang w:val="en-US"/>
        </w:rPr>
        <w:t>This study addresses that gap. By applying the IPCC AR6 risk framework across three integrated analytical pillars to twelve coastal NUTS3 regions, ten critical infrastructure sections, and three SLR scenarios spanning 2025–2100, it provides, to the best of the author's knowledge, an integrated economic assessment of this scope — combining regional economic exposure, physical asset stock, and dynamic infrastructure disruption modelling — that has not previously been published for mainland Portugal. The integration of machine learning (K-Means clustering for risk tier classification) and inferential statistics (OLS regression for scenario consistency assessment against observed tide gauge records) within the same study further grounds the forward-looking projections in the observational record, strengthening the evidential basis for both the scenario selection and the classification of regions by risk profile.</w:t>
      </w:r>
    </w:p>
    <w:sectPr w:rsidR="00F64C2D" w:rsidRPr="00D93D76">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2D8D" w:rsidRDefault="007F2D8D">
      <w:r>
        <w:separator/>
      </w:r>
    </w:p>
  </w:endnote>
  <w:endnote w:type="continuationSeparator" w:id="0">
    <w:p w:rsidR="007F2D8D" w:rsidRDefault="007F2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4C2D" w:rsidRDefault="00000000">
    <w:pPr>
      <w:jc w:val="center"/>
    </w:pPr>
    <w:r>
      <w:fldChar w:fldCharType="begin"/>
    </w:r>
    <w:r>
      <w:instrText>PAGE</w:instrText>
    </w:r>
    <w:r>
      <w:fldChar w:fldCharType="separate"/>
    </w:r>
    <w:r w:rsidR="00D93D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2D8D" w:rsidRDefault="007F2D8D">
      <w:r>
        <w:separator/>
      </w:r>
    </w:p>
  </w:footnote>
  <w:footnote w:type="continuationSeparator" w:id="0">
    <w:p w:rsidR="007F2D8D" w:rsidRDefault="007F2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3376A"/>
    <w:multiLevelType w:val="hybridMultilevel"/>
    <w:tmpl w:val="5DECC144"/>
    <w:lvl w:ilvl="0" w:tplc="FA147CEC">
      <w:start w:val="1"/>
      <w:numFmt w:val="bullet"/>
      <w:lvlText w:val="●"/>
      <w:lvlJc w:val="left"/>
      <w:pPr>
        <w:ind w:left="720" w:hanging="360"/>
      </w:pPr>
    </w:lvl>
    <w:lvl w:ilvl="1" w:tplc="EC90133A">
      <w:start w:val="1"/>
      <w:numFmt w:val="bullet"/>
      <w:lvlText w:val="○"/>
      <w:lvlJc w:val="left"/>
      <w:pPr>
        <w:ind w:left="1440" w:hanging="360"/>
      </w:pPr>
    </w:lvl>
    <w:lvl w:ilvl="2" w:tplc="16AE822A">
      <w:start w:val="1"/>
      <w:numFmt w:val="bullet"/>
      <w:lvlText w:val="■"/>
      <w:lvlJc w:val="left"/>
      <w:pPr>
        <w:ind w:left="2160" w:hanging="360"/>
      </w:pPr>
    </w:lvl>
    <w:lvl w:ilvl="3" w:tplc="E7927AA0">
      <w:start w:val="1"/>
      <w:numFmt w:val="bullet"/>
      <w:lvlText w:val="●"/>
      <w:lvlJc w:val="left"/>
      <w:pPr>
        <w:ind w:left="2880" w:hanging="360"/>
      </w:pPr>
    </w:lvl>
    <w:lvl w:ilvl="4" w:tplc="A8320F6C">
      <w:start w:val="1"/>
      <w:numFmt w:val="bullet"/>
      <w:lvlText w:val="○"/>
      <w:lvlJc w:val="left"/>
      <w:pPr>
        <w:ind w:left="3600" w:hanging="360"/>
      </w:pPr>
    </w:lvl>
    <w:lvl w:ilvl="5" w:tplc="E438CC84">
      <w:start w:val="1"/>
      <w:numFmt w:val="bullet"/>
      <w:lvlText w:val="■"/>
      <w:lvlJc w:val="left"/>
      <w:pPr>
        <w:ind w:left="4320" w:hanging="360"/>
      </w:pPr>
    </w:lvl>
    <w:lvl w:ilvl="6" w:tplc="A0E619FA">
      <w:start w:val="1"/>
      <w:numFmt w:val="bullet"/>
      <w:lvlText w:val="●"/>
      <w:lvlJc w:val="left"/>
      <w:pPr>
        <w:ind w:left="5040" w:hanging="360"/>
      </w:pPr>
    </w:lvl>
    <w:lvl w:ilvl="7" w:tplc="E5BAB4B0">
      <w:start w:val="1"/>
      <w:numFmt w:val="bullet"/>
      <w:lvlText w:val="●"/>
      <w:lvlJc w:val="left"/>
      <w:pPr>
        <w:ind w:left="5760" w:hanging="360"/>
      </w:pPr>
    </w:lvl>
    <w:lvl w:ilvl="8" w:tplc="3F30A7D6">
      <w:start w:val="1"/>
      <w:numFmt w:val="bullet"/>
      <w:lvlText w:val="●"/>
      <w:lvlJc w:val="left"/>
      <w:pPr>
        <w:ind w:left="6480" w:hanging="360"/>
      </w:pPr>
    </w:lvl>
  </w:abstractNum>
  <w:num w:numId="1" w16cid:durableId="298267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4C2D"/>
    <w:rsid w:val="00117267"/>
    <w:rsid w:val="00183229"/>
    <w:rsid w:val="00237AD9"/>
    <w:rsid w:val="0036765D"/>
    <w:rsid w:val="00436F0A"/>
    <w:rsid w:val="00471703"/>
    <w:rsid w:val="006473E9"/>
    <w:rsid w:val="007801BB"/>
    <w:rsid w:val="007F2D8D"/>
    <w:rsid w:val="009D4A56"/>
    <w:rsid w:val="009F4377"/>
    <w:rsid w:val="00D93D76"/>
    <w:rsid w:val="00DF5B9F"/>
    <w:rsid w:val="00E62FDE"/>
    <w:rsid w:val="00EF3E2D"/>
    <w:rsid w:val="00F4371A"/>
    <w:rsid w:val="00F64C2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19735437"/>
  <w15:docId w15:val="{3540D9FB-0B69-3444-8F80-AB122E292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semiHidden/>
    <w:unhideWhenUsed/>
    <w:qFormat/>
    <w:pPr>
      <w:spacing w:before="24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4902</Words>
  <Characters>26477</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Celso Simões</cp:lastModifiedBy>
  <cp:revision>6</cp:revision>
  <dcterms:created xsi:type="dcterms:W3CDTF">2026-05-02T10:59:00Z</dcterms:created>
  <dcterms:modified xsi:type="dcterms:W3CDTF">2026-05-09T18:04:00Z</dcterms:modified>
</cp:coreProperties>
</file>