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Capítulo 5: Análise do Investimento em Adaptação</w:t>
      </w:r>
    </w:p>
    <w:p>
      <w:pPr>
        <w:pStyle w:val="Heading2"/>
        <w:spacing w:after="160" w:before="400" w:line="360"/>
      </w:pPr>
      <w:r>
        <w:rPr>
          <w:rFonts w:ascii="Times New Roman" w:cs="Times New Roman" w:eastAsia="Times New Roman" w:hAnsi="Times New Roman"/>
          <w:b/>
          <w:bCs/>
          <w:sz w:val="26"/>
          <w:szCs w:val="26"/>
        </w:rPr>
        <w:t xml:space="preserve">5.1  Visão Geral do Capítulo</w:t>
      </w:r>
    </w:p>
    <w:p>
      <w:pPr>
        <w:spacing w:after="160" w:before="0" w:line="360"/>
        <w:jc w:val="both"/>
      </w:pPr>
      <w:r>
        <w:rPr>
          <w:rFonts w:ascii="Times New Roman" w:cs="Times New Roman" w:eastAsia="Times New Roman" w:hAnsi="Times New Roman"/>
          <w:sz w:val="24"/>
          <w:szCs w:val="24"/>
        </w:rPr>
        <w:t xml:space="preserve">O presente capítulo avalia a justificação económica do investimento em adaptação nas oito secções de infraestrutura crítica identificadas no Capítulo 4. Para cada secção, são avaliadas três opções de adaptação de custo de capital e ambicão de engenharia crescentes, comparando-as com a linha de base de custos de disrupção sem adaptação estabelecida no Pilar 3. O enquadramento de avaliação assenta numa análise de ponto de equilíbrio baseada em poupanças: considera-se que a adaptação é economicamente justificada quando o custo de disrupção acumulado evitado excede o investimento de capital (CAPEX) necessário para implementar a medida. Os anos de ponto de equilíbrio são calculados para todas as oito secções nos três cenários do IPCC AR6 (SSP1-2.6, SSP2-4.5, SSP5-8.5) e em duas variantes do modelo (Baseline, +Geóide), proporcionando um envelope de sensibilidade completo para as decisões de cronologia da adaptação.</w:t>
      </w:r>
    </w:p>
    <w:p>
      <w:pPr>
        <w:spacing w:after="160" w:before="0" w:line="360"/>
        <w:jc w:val="both"/>
      </w:pPr>
      <w:r>
        <w:rPr>
          <w:rFonts w:ascii="Times New Roman" w:cs="Times New Roman" w:eastAsia="Times New Roman" w:hAnsi="Times New Roman"/>
          <w:sz w:val="24"/>
          <w:szCs w:val="24"/>
        </w:rPr>
        <w:t xml:space="preserve">O capítulo está estruturado de forma a seguir a mesma organização sectorial do Capítulo 4: secções ferroviárias (§5.3), rede portuária (§5.4) e rede rodoviária (§5.5), antes de apresentar a análise do portefólio agregado (§5.6) e uma análise de sensibilidade do Valor Presente Líquido (VPL) a taxas de desconto de 0%, 1,4% (Stern) e 3% (§5.7). Todas as opções de adaptação são avaliadas em termos da sua relação custo-eficácia relativamente ao cenário sem adaptação; o capítulo não avalia benefícios sociais ou ambientais absolutos para além do custo de disrupção evitado. Os valores de CAPEX de adaptação utilizados são estimativas indicativas fundamentadas em engenharia, obtidas a partir de estudos publicados sobre custos de proteção costeira e de projetos análogos de reforço de infraestruturas portuguesas, devendo ser entendidos como dados de ordem de grandeza para o enquadramento do ponto de equilíbrio, e não como orçamentos detalhados de projeto.</w:t>
      </w:r>
    </w:p>
    <w:p>
      <w:pPr>
        <w:spacing w:after="160" w:before="0" w:line="360"/>
        <w:jc w:val="both"/>
      </w:pPr>
      <w:r>
        <w:rPr>
          <w:rFonts w:ascii="Times New Roman" w:cs="Times New Roman" w:eastAsia="Times New Roman" w:hAnsi="Times New Roman"/>
          <w:sz w:val="24"/>
          <w:szCs w:val="24"/>
        </w:rPr>
        <w:t xml:space="preserve">A conclusão central deste capítulo é que existe adaptação economicamente justificada para todas as oito secções em SSP5-8.5, sendo que as opções recomendadas exigem coletivamente um CAPEX total com estimativa intermédia de aproximadamente </w:t>
      </w:r>
      <w:r>
        <w:rPr>
          <w:rFonts w:ascii="Times New Roman" w:cs="Times New Roman" w:eastAsia="Times New Roman" w:hAnsi="Times New Roman"/>
          <w:b/>
          <w:bCs/>
          <w:sz w:val="24"/>
          <w:szCs w:val="24"/>
        </w:rPr>
        <w:t xml:space="preserve">€307 milhões</w:t>
      </w:r>
      <w:r>
        <w:rPr>
          <w:rFonts w:ascii="Times New Roman" w:cs="Times New Roman" w:eastAsia="Times New Roman" w:hAnsi="Times New Roman"/>
          <w:sz w:val="24"/>
          <w:szCs w:val="24"/>
        </w:rPr>
        <w:t xml:space="preserve"> — face ao custo de disrupção sem adaptação de €130,1 mil milhões estabelecido no Capítulo 4. Este valor representa uma justificação económica indicativa muito sólida para a adaptação no âmbito deste estudo, notando que estes valores refletem custos de disrupção derivados do modelo, estimativas indicativas de CAPEX e eficácia de adaptação assumida.</w:t>
      </w:r>
    </w:p>
    <w:p>
      <w:pPr>
        <w:pStyle w:val="Heading2"/>
        <w:spacing w:after="160" w:before="400" w:line="360"/>
      </w:pPr>
      <w:r>
        <w:rPr>
          <w:rFonts w:ascii="Times New Roman" w:cs="Times New Roman" w:eastAsia="Times New Roman" w:hAnsi="Times New Roman"/>
          <w:b/>
          <w:bCs/>
          <w:sz w:val="26"/>
          <w:szCs w:val="26"/>
        </w:rPr>
        <w:t xml:space="preserve">5.2  Enquadramento e Metodologia de Adaptação</w:t>
      </w:r>
    </w:p>
    <w:p>
      <w:pPr>
        <w:spacing w:after="160" w:before="0" w:line="360"/>
        <w:jc w:val="both"/>
      </w:pPr>
      <w:r>
        <w:t>O enquadramento do ponto de equilíbrio segue uma abordagem baseada em poupanças. A cada opção de adaptação de cada secção é atribuído um CAPEX expresso como estimativa pontual com uma gama baixo/médio/alto que reflete a incerteza dos custos de construção. O CAPEX é tratado como uma despesa única incorrida no ano de referência de 2025, correspondendo a uma implementação imediata sem investimento faseado nem atrasos de construção. Esta assunção é conservadora em dois aspetos: em primeiro lugar, os prazos reais de contratação e construção atrasariam o início tanto dos custos como dos benefícios; em segundo lugar, tratar o CAPEX integralmente como adiantado maximiza o ónus de retorno atualizado relativamente às poupanças. Esta assunção simplificadora é conservadora para os cálculos de retorno atualizado, embora não reflita o perfil de contratação e entrega faseado dos projetos de infraestrutura reais.</w:t>
      </w:r>
    </w:p>
    <w:p>
      <w:pPr>
        <w:spacing w:after="160" w:before="0" w:line="360"/>
        <w:jc w:val="both"/>
      </w:pPr>
      <w:r>
        <w:t>As poupanças de adaptação são definidas como o custo de disrupção acumulado que se teria verificado no cenário sem adaptação, mas que é evitado pela medida protetora. Para as opções estruturais (elevacão de aterros, barreiras anti-cheia, proteção costeira), assume-se que a medida elimina a disrupção na secção protegida até o nível da SNM exceder o limiar de projeto da intervenção; poderá verificar-se uma disrupção parcial após esse ponto, embora dentro do horizonte do estudo (2025–2100) e da SNM máxima do cenário de +1,15 m (SSP5-8.5/+Geóide/2100), todas as opções estruturais modeladas permaneçam dentro do seu envelope de projeto. Para as opções operacionais (protocolos de gestão de tráfego, protocolos de contingência portuária), a medida reduz a duração e frequência das disrupções por evento numa estimativa de 40–60%, produzindo um fluxo de poupanças menor, mas mais imediato, relativamente ao respetivo CAPEX. As estimativas de custos evitados ao longo deste capítulo são contrafactuais derivadas do modelo, baseadas na eficácia de adaptação assumida, e não em poupanças observadas de projetos implementados; as regras de poupança acima definidas devem ser entendidas como assunções analíticas, não como efeitos causais calibrados empiricamente.</w:t>
      </w:r>
    </w:p>
    <w:p>
      <w:pPr>
        <w:spacing w:after="160" w:before="0" w:line="360"/>
        <w:jc w:val="both"/>
      </w:pPr>
      <w:r>
        <w:t>O ano de ponto de equilíbrio define-se como o ano civil em que o custo de disrupção evitado acumulado iguala pela primeira vez o CAPEX da medida, calculado anualmente a partir de 2025 com base no resultado de custo anual por secção do modelo de cheia composta. Os anos de ponto de equilíbrio são reportados para três níveis de CAPEX (baixo, médio, alto) e três bandas de TDDC (baixo, médio, alto), produzindo uma matriz de sensibilidade 3×3 por secção e por cenário. Por razões de concisão, o valor reportado principal é o ano de ponto de equilíbrio CAPEX-médio e TDDC-médio; os intervalos de sensibilidade são referidos quando relevantes. A assunção de não desconto utilizada ao longo dos Capítulos 4 e 5 é relaxada na Secção 5.7, onde os anos de ponto de equilíbrio ajustados pelo VPL são calculados a taxas de desconto reais de 1,4% (Stern) e 3%. Os anos de ponto de equilíbrio em todos os quadros pressupõem as regras de eficácia de adaptação definidas nesta secção e são calculados em relação à trajetória de custos de disrupção sem adaptação do Pilar 3.</w:t>
      </w:r>
    </w:p>
    <w:p>
      <w:pPr>
        <w:spacing w:after="160" w:before="0" w:line="360"/>
        <w:jc w:val="both"/>
      </w:pPr>
      <w:r>
        <w:t>As opções de adaptação estão classificadas em três níveis de ambição de engenharia, aplicados de forma consistente entre tipos de infraestrutura. A Opção 1 representa uma intervenção estrutural in situ pontual (elevação de via, reforço de aterro, impermeabilização de cais ou elevação da faixa de rodagem) que aborda a vulnerabilidade imediata à cheia sem relocalizar nem redesenhar fundamentalmente o ativo. A Opção 2 representa uma intervenção estrutural ou hidrológica de ordem superior (barreiras anti-cheia, estruturas de proteção costeira, relocalização parcial) que oferece proteção mais ampla e duradoura a CAPEX mais elevado. A Opção 3 representa uma medida operacional ou de gestão da procura de baixo capital (gestão de disrupção baseada em protocolos, reencaminhamento dinâmico de tráfego, desvio preventivo de carga) que reduz o custo económico de cada evento de fecho sem prevenir a exposição física à cheia.</w:t>
      </w:r>
    </w:p>
    <w:p>
      <w:pPr>
        <w:pStyle w:val="Heading2"/>
        <w:spacing w:after="160" w:before="400" w:line="360"/>
      </w:pPr>
      <w:r>
        <w:rPr>
          <w:rFonts w:ascii="Times New Roman" w:cs="Times New Roman" w:eastAsia="Times New Roman" w:hAnsi="Times New Roman"/>
          <w:b/>
          <w:bCs/>
          <w:sz w:val="26"/>
          <w:szCs w:val="26"/>
        </w:rPr>
        <w:t xml:space="preserve">5.3  Adaptação da Rede Ferroviária</w:t>
      </w:r>
    </w:p>
    <w:p>
      <w:pPr>
        <w:pStyle w:val="Heading3"/>
        <w:spacing w:after="120" w:before="240" w:line="360"/>
      </w:pPr>
      <w:r>
        <w:rPr>
          <w:rFonts w:ascii="Times New Roman" w:cs="Times New Roman" w:eastAsia="Times New Roman" w:hAnsi="Times New Roman"/>
          <w:b/>
          <w:bCs/>
          <w:sz w:val="24"/>
          <w:szCs w:val="24"/>
        </w:rPr>
        <w:t xml:space="preserve">5.3.1  Secção do Mondego (Alfarelos–Formoselha)</w:t>
      </w:r>
    </w:p>
    <w:p>
      <w:pPr>
        <w:spacing w:after="160" w:before="0" w:line="360"/>
        <w:jc w:val="both"/>
      </w:pPr>
      <w:r>
        <w:rPr>
          <w:rFonts w:ascii="Times New Roman" w:cs="Times New Roman" w:eastAsia="Times New Roman" w:hAnsi="Times New Roman"/>
          <w:sz w:val="24"/>
          <w:szCs w:val="24"/>
        </w:rPr>
        <w:t xml:space="preserve">A secção do Mondego apresenta o histórico de engenharia mais longo de todas as secções desta análise. O corredor de 3 km na planura aluvial do Mondego, a aproximadamente 1,0 m acima do nível médio do mar (NMM), regista inundações periódicas documentadas desde, pelo menos, a década de 1980, e o seu período de retorno base de cheia de 4 anos representa uma das maiores frequências de disrupção da rede. A baixa elevação da secção e a elevada frequência de fecho significam que mesmo uma SNM modesta se traduz num aumento drástico dos dias de fecho anuais, tornando-a simultaneamente a secção ferroviária mais urgente e aquela onde as poupanças de adaptação se acumulam mais rapidamente.</w:t>
      </w:r>
    </w:p>
    <w:p>
      <w:pPr>
        <w:spacing w:after="160" w:before="0" w:line="360"/>
        <w:jc w:val="both"/>
      </w:pPr>
      <w:r>
        <w:t>O Quadro 5.1 apresenta as três opções de adaptação para a secção do Mondego. A Opção 1 (viaduto in situ, 3–5 km) eleva a via acima do nível de cheia de período de retorno de 1-em-100-anos mediante uma estrutura de viaduto instalada sem interrupção de serviço; é a opção estrutural de menor CAPEX e preserva o alinhamento de trajetória existente. A Opção 2 (relocalização em Soure, ~4 km para o interior) reposiciona o traçado em terreno mais elevado a leste da planura aluvial do Mondego, eliminando integralmente a exposição à cheia, mas exigindo a aquisição de uma nova servidão de passagem e uma interrupção de serviço mais prolongada durante a construção. A Opção 3 (desvio por Alfarelos, ~12 km de nova traça via Alfarelos) representa um redesenho integral do traçado que elimina por completo a exposição à planura aluvial e reduz igualmente o tempo de viagem Lisboa–Porto em aproximadamente 4 minutos, mas com um CAPEX mais de duas vezes superior ao da Opção 1.</w:t>
      </w:r>
    </w:p>
    <w:p>
      <w:pPr>
        <w:spacing w:after="160" w:before="0" w:line="360"/>
        <w:jc w:val="both"/>
      </w:pPr>
      <w:r>
        <w:rPr>
          <w:rFonts w:ascii="Times New Roman" w:cs="Times New Roman" w:eastAsia="Times New Roman" w:hAnsi="Times New Roman"/>
          <w:sz w:val="24"/>
          <w:szCs w:val="24"/>
        </w:rPr>
        <w:t xml:space="preserve">Quadro 5.1: Opções de adaptação para a secção do Mondego.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1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Viaduto in situ (3–5 km)</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€88/120/155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Relocalização em Soure (~4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€124/176/228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Desvio por Alfarelos (~12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€218/319/420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1 é a medida recomendada. Em SSP5-8.5/Baseline, o ponto de equilíbrio é atingido em 2042 (intervalo: 2040–2044), recuperando os €120 milhões de CAPEX médio em 17 anos após o investimento. Na variante +Geóide, o ponto de equilíbrio antecipa-se para 2034 — apenas 9 anos após a data de referência do investimento. A Opção 2 apresenta cronologias de ponto de equilíbrio globalmente semelhantes, com um CAPEX 32–47% superior e sem qualquer melhoria comensurável do nível de proteção dentro do horizonte do estudo. O CAPEX muito elevado da Opção 3 (&gt;€218 milhões) retarda significativamente o ponto de equilíbrio relativamente à Opção 1, apesar do benefício de eficiência de traçado; este co-benefício, embora real, situa-se fora do enquadramento de poupanças de disrupção utilizado e deverá ser avaliado separadamente numa análise estratégica de investimento ferroviário.</w:t>
      </w:r>
    </w:p>
    <w:p>
      <w:pPr>
        <w:pStyle w:val="Heading3"/>
        <w:spacing w:after="120" w:before="240" w:line="360"/>
      </w:pPr>
      <w:r>
        <w:rPr>
          <w:rFonts w:ascii="Times New Roman" w:cs="Times New Roman" w:eastAsia="Times New Roman" w:hAnsi="Times New Roman"/>
          <w:b/>
          <w:bCs/>
          <w:sz w:val="24"/>
          <w:szCs w:val="24"/>
        </w:rPr>
        <w:t xml:space="preserve">5.3.2  Secção do Vale de Cheia do Tejo (Castanheira–Alverca)</w:t>
      </w:r>
    </w:p>
    <w:p>
      <w:pPr>
        <w:spacing w:after="160" w:before="0" w:line="360"/>
        <w:jc w:val="both"/>
      </w:pPr>
      <w:r>
        <w:t>A secção do vale de cheia do Tejo (km 37–47) apresenta um perfil de risco diferente do Mondego: a sua elevação de aproximadamente 2,0 m e o período de retorno base de 10 anos significam que o período inicial (2025–2040) é de custo relativamente baixo no cenário sem adaptação, mas a cheia composta resultante da coincidência de sobrelevação meteorológica, elevado caudal fluvial e preia-mar de sizígia cria um risco de fechos catástróficos de várias semanas que não é captado isoladamente pelo período de retorno anual (Fernández-Nóvoa et al., 2024). A proximidade da secção à área metropolitana de Lisboa significa igualmente que cada dia de fecho gera a TDDC mais elevada de qualquer secção ferroviária (€1 500 000/dia), incluindo uma componente de comboios suburbanos de €450 000/dia.</w:t>
      </w:r>
    </w:p>
    <w:p>
      <w:pPr>
        <w:spacing w:after="160" w:before="0" w:line="360"/>
        <w:jc w:val="both"/>
      </w:pPr>
      <w:r>
        <w:rPr>
          <w:rFonts w:ascii="Times New Roman" w:cs="Times New Roman" w:eastAsia="Times New Roman" w:hAnsi="Times New Roman"/>
          <w:sz w:val="24"/>
          <w:szCs w:val="24"/>
        </w:rPr>
        <w:t xml:space="preserve">Quadro 5.2: Opções de adaptação para a secção do vale de cheia do Tejo.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Elevação do aterro (1–2 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€40/55/70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2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Barreiras anti-cheia (amovíveis)</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€30/42/55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Relocalização da via (para interior)</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€150/215/280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2 (barreiras anti-cheia amovíveis e melhorias de drenagem, €42 milhões de CAPEX médio) é a medida recomendada. Atinge o ponto de equilíbrio em SSP5-8.5/Baseline em 2040 (intervalo: 2038–2042), dois anos antes da Opção 1 de elevação do aterro, com um CAPEX 23% inferior. A abordagem de barreiras oferece ainda a vantagem estratégica de ser compatível com o conceito mais amplo de barreira no estuário do Tejo, que protegeria simultaneamente a infraestrutura terrestre do Porto de Lisboa (§5.4.2), representando uma significativa oportunidade de investimento partilhado. A Opção 1 é uma alternativa viável quando a abordagem de barreiras se revelar inviável por razões operacionais. A Opção 3 implica uma relocalização major da infraestrutura (€215 milhões de CAPEX médio) com um ponto de equilíbrio em 2053 no cenário SSP5-8.5/Baseline — 13 anos depois da Opção 2 e a cinco vezes o custo — pelo que não é recomendada no âmbito deste estudo.</w:t>
      </w:r>
    </w:p>
    <w:p>
      <w:pPr>
        <w:pStyle w:val="Heading3"/>
        <w:spacing w:after="120" w:before="240" w:line="360"/>
      </w:pPr>
      <w:r>
        <w:rPr>
          <w:rFonts w:ascii="Times New Roman" w:cs="Times New Roman" w:eastAsia="Times New Roman" w:hAnsi="Times New Roman"/>
          <w:b/>
          <w:bCs/>
          <w:sz w:val="24"/>
          <w:szCs w:val="24"/>
        </w:rPr>
        <w:t xml:space="preserve">5.3.3  Secção da Ria de Aveiro</w:t>
      </w:r>
    </w:p>
    <w:p>
      <w:pPr>
        <w:spacing w:after="160" w:before="0" w:line="360"/>
        <w:jc w:val="both"/>
      </w:pPr>
      <w:r>
        <w:rPr>
          <w:rFonts w:ascii="Times New Roman" w:cs="Times New Roman" w:eastAsia="Times New Roman" w:hAnsi="Times New Roman"/>
          <w:sz w:val="24"/>
          <w:szCs w:val="24"/>
        </w:rPr>
        <w:t xml:space="preserve">A secção da Ria de Aveiro é simultaneamente a maior contribuidora de custos no Pilar 3 (€30,0 mil milhões) e a secção com necessidade de adaptação mais urgente. A sua estrutura de duas sub-zonas (Zona A a 1,2 m NMM, Zona B a 0,7 m NMM) e o limiar binário de rutura de barreira para a Zona B significam que os custos de disrupção se acumulam rapidamente a partir do início da década de 2030 nos cenários de emissões elevadas. Na variante +Geóide, está projetado que a Zona B atinja o limiar de rutura de barreira entre 2035 e 2040, despoletando um fecho permanente de 365 dias para essa sub-zona. De todas as oito secções, Aveiro exige o compromisso de investimento mais precoce, independentemente da incerteza dos cenários.</w:t>
      </w:r>
    </w:p>
    <w:p>
      <w:pPr>
        <w:spacing w:after="160" w:before="0" w:line="360"/>
        <w:jc w:val="both"/>
      </w:pPr>
      <w:r>
        <w:rPr>
          <w:rFonts w:ascii="Times New Roman" w:cs="Times New Roman" w:eastAsia="Times New Roman" w:hAnsi="Times New Roman"/>
          <w:sz w:val="24"/>
          <w:szCs w:val="24"/>
        </w:rPr>
        <w:t xml:space="preserve">Quadro 5.3: Opções de adaptação para a secção da Ria de Aveiro.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1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Elevação da via (Zona A+B)</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€60/80/100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Barreira costeira (Barra–Costa Nova)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€80/110/140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Desvio interior oriental (~25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€280/380/480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1 (elevação da via nas duas sub-zonas, €80 milhões de CAPEX médio) é a medida recomendada com base na relação custo-eficácia. O ponto de equilíbrio em SSP5-8.5/Baseline é atingido em 2034 (intervalo: 2032–2035), antecipando-se para 2029 na variante +Geóide — o que implica que o investimento total de €80 milhões é recuperado em apenas 4 anos após a data de referência, na trajetória ajustada pelo geóide. A Opção 2 (reforço da barreira costeira ao longo do sistema Barra–Costa Nova, €110 milhões de CAPEX médio) atinge o ponto de equilíbrio ligeiramente mais tarde a um custo significativamente superior; no entanto, proporcionaria o benefício adicional de proteger a Zona B contra a rutura de barreira, o que a Opção 1 não garante. Se a probabilidade de rutura de barreira na variante +Geóide for considerada elevada, a Opção 2 é o investimento de longo prazo superior, apesar do maior CAPEX, e esta decisão deverá ser fundamentada por modelação geomorfológica costeira dedicada ao sistema de barreira da Barra. A Opção 3 (nova traça de 25 km pelo interior, €380 milhões de CAPEX médio) atinge o ponto de equilíbrio em 2045 em SSP5-8.5/Baseline, mas constitui um projeto de infraestrutura de envergadura geracional e é candidato a inclusão num programa de longo prazo de alta velocidade ferroviária Lisboa–Porto, e não a uma medida de adaptação de curto prazo.</w:t>
      </w:r>
    </w:p>
    <w:p>
      <w:pPr>
        <w:pStyle w:val="Heading2"/>
        <w:spacing w:after="160" w:before="400" w:line="360"/>
      </w:pPr>
      <w:r>
        <w:rPr>
          <w:rFonts w:ascii="Times New Roman" w:cs="Times New Roman" w:eastAsia="Times New Roman" w:hAnsi="Times New Roman"/>
          <w:b/>
          <w:bCs/>
          <w:sz w:val="26"/>
          <w:szCs w:val="26"/>
        </w:rPr>
        <w:t xml:space="preserve">5.4  Adaptação da Rede Portuária</w:t>
      </w:r>
    </w:p>
    <w:p>
      <w:pPr>
        <w:spacing w:after="160" w:before="0" w:line="360"/>
        <w:jc w:val="both"/>
      </w:pPr>
      <w:r>
        <w:rPr>
          <w:rFonts w:ascii="Times New Roman" w:cs="Times New Roman" w:eastAsia="Times New Roman" w:hAnsi="Times New Roman"/>
          <w:sz w:val="24"/>
          <w:szCs w:val="24"/>
        </w:rPr>
        <w:t xml:space="preserve">As três secções portuárias — Leixões, Lisboa e Setúbal — representam coletivamente €55,45 mil milhões dos €130,1 mil milhões do total sem adaptação. As opções de adaptação para os portos obedecem a uma lógica de engenharia distinta da das opções ferroviárias: como a disrupção portuária é maioritariamente determinada pela incapacidade de prosseguir as operações de carga durante eventos de maré elevada, as medidas mais custo-eficazes tendem a ser operacionais em vez de estruturais. A impermeabilização estrutural do cais (Opção 1) e o investimento em resiliência terrestre (Opção 2) oferecem ambas proteção significativa, mas com um CAPEX mais elevado relativamente às poupanças de disrupção do que os investimentos em protocolos operacionais de contingência (Opção 3).</w:t>
      </w:r>
    </w:p>
    <w:p>
      <w:pPr>
        <w:pStyle w:val="Heading3"/>
        <w:spacing w:after="120" w:before="240" w:line="360"/>
      </w:pPr>
      <w:r>
        <w:rPr>
          <w:rFonts w:ascii="Times New Roman" w:cs="Times New Roman" w:eastAsia="Times New Roman" w:hAnsi="Times New Roman"/>
          <w:b/>
          <w:bCs/>
          <w:sz w:val="24"/>
          <w:szCs w:val="24"/>
        </w:rPr>
        <w:t xml:space="preserve">5.4.1  Porto de Leixões</w:t>
      </w:r>
    </w:p>
    <w:p>
      <w:pPr>
        <w:spacing w:after="160" w:before="0" w:line="360"/>
        <w:jc w:val="both"/>
      </w:pPr>
      <w:r>
        <w:rPr>
          <w:rFonts w:ascii="Times New Roman" w:cs="Times New Roman" w:eastAsia="Times New Roman" w:hAnsi="Times New Roman"/>
          <w:sz w:val="24"/>
          <w:szCs w:val="24"/>
        </w:rPr>
        <w:t xml:space="preserve">Quadro 5.4: Opções de adaptação para o Porto de Leixões.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Impermeabilização de cais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€35/47/60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Resiliência em terra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€20/27/35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Protocolo operacional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€10/15/20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2054</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 de contingência operacional, €15 milhões de CAPEX médio) é a medida recomendada. Atinge o mesmo ano de ponto de equilíbrio que a Opção 2 (2043 em SSP5-8.5/Baseline, 2035 em +Geóide) com um CAPEX 44% inferior. O protocolo abrange acordos de desvio de carga pré-posicionados para Sines, cais alternativos temporários pré-aprovados na ancoradouro do Rio Douro e um sistema de alerta de maré em tempo real para a programação operacional. A elevação superior de Leixões (3,0 m) comparativamente aos portos de Lisboa e Setúbal proporciona uma margem adicional que torna as medidas estruturais menos urgentes a curto prazo, reforçando o protocolo operacional como o investimento inicial mais adequado. As Opções 1 e 2 tornam-se progressivamente mais valiosas à medida que a SNM acelera a meio do século e deverão ser revistas a um horizonte de 10 anos.</w:t>
      </w:r>
    </w:p>
    <w:p>
      <w:pPr>
        <w:pStyle w:val="Heading3"/>
        <w:spacing w:after="120" w:before="240" w:line="360"/>
      </w:pPr>
      <w:r>
        <w:rPr>
          <w:rFonts w:ascii="Times New Roman" w:cs="Times New Roman" w:eastAsia="Times New Roman" w:hAnsi="Times New Roman"/>
          <w:b/>
          <w:bCs/>
          <w:sz w:val="24"/>
          <w:szCs w:val="24"/>
        </w:rPr>
        <w:t xml:space="preserve">5.4.2  Porto de Lisboa</w:t>
      </w:r>
    </w:p>
    <w:p>
      <w:pPr>
        <w:spacing w:after="160" w:before="0" w:line="360"/>
        <w:jc w:val="both"/>
      </w:pPr>
      <w:r>
        <w:rPr>
          <w:rFonts w:ascii="Times New Roman" w:cs="Times New Roman" w:eastAsia="Times New Roman" w:hAnsi="Times New Roman"/>
          <w:sz w:val="24"/>
          <w:szCs w:val="24"/>
        </w:rPr>
        <w:t xml:space="preserve">Quadro 5.5: Opções de adaptação para o Porto de Lisboa.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Impermeabilização de cais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€30/40/50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Resiliência em terra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€25/35/45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Protocolo operacional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€12/17/22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 operacional, €17 milhões de CAPEX médio) é a medida inicial recomendada, atingindo o ponto de equilíbrio em 2035 no cenário SSP5-8.5/Baseline (intervalo: 2033–2036) e em 2030 em +Geóide — apenas cinco anos após a data de referência do investimento na trajetória ajustada pelo geóide. O Porto de Lisboa é o maior contribuidor singular de custos de disrupção portuária na análise (€27,28 mil milhões), e os €17 milhões exigidos pela Opção 3 representam uma fração muito pequena do custo de disrupção acumulado que se propõe parcialmente evitar. As Opções 1 e 2 atingem ambas o ponto de equilíbrio entre 2037 e 2038 em SSP5-8.5/Baseline, com CAPEX de €35–40 milhões; estas deverão ser consideradas como uma segunda fase de investimento a seguir à implementação do protocolo. Importa salientar que o programa de barreiras no Tejo avaliado para a secção ferroviária do Tejo protegeria simultaneamente a infraestrutura terrestre do Porto de Lisboa, representando uma oportunidade de investimento partilhado com uma reserva de benefícios combinados que abrange ambas as secções.</w:t>
      </w:r>
    </w:p>
    <w:p>
      <w:pPr>
        <w:pStyle w:val="Heading3"/>
        <w:spacing w:after="120" w:before="240" w:line="360"/>
      </w:pPr>
      <w:r>
        <w:rPr>
          <w:rFonts w:ascii="Times New Roman" w:cs="Times New Roman" w:eastAsia="Times New Roman" w:hAnsi="Times New Roman"/>
          <w:b/>
          <w:bCs/>
          <w:sz w:val="24"/>
          <w:szCs w:val="24"/>
        </w:rPr>
        <w:t xml:space="preserve">5.4.3  Porto de Setúbal</w:t>
      </w:r>
    </w:p>
    <w:p>
      <w:pPr>
        <w:spacing w:after="160" w:before="0" w:line="360"/>
        <w:jc w:val="both"/>
      </w:pPr>
      <w:r>
        <w:rPr>
          <w:rFonts w:ascii="Times New Roman" w:cs="Times New Roman" w:eastAsia="Times New Roman" w:hAnsi="Times New Roman"/>
          <w:sz w:val="24"/>
          <w:szCs w:val="24"/>
        </w:rPr>
        <w:t xml:space="preserve">Quadro 5.6: Opções de adaptação para o Porto de Setúbal.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Impermeabilização de cais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Resiliência em terra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€15/22/30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Protocolo operacional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€8/11/15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bl>
    <w:p>
      <w:pPr>
        <w:spacing w:after="160" w:before="0" w:line="360"/>
        <w:jc w:val="both"/>
      </w:pPr>
    </w:p>
    <w:p>
      <w:pPr>
        <w:spacing w:after="160" w:before="0" w:line="360"/>
        <w:jc w:val="both"/>
      </w:pPr>
      <w:r>
        <w:t>A Opção 3 (protocolo operacional, €11 milhões de CAPEX médio) é a medida recomendada, atingindo o ponto de equilíbrio em 2036 no cenário SSP5-8.5/Baseline (intervalo: 2033–2037) e em 2030 em +Geóide. O Porto de Setúbal apresenta um risco JIT (“just-in-time”) particularmente agudo, uma vez que a cadeia de abastecimento de exportação de automóveis da AutoEuropa funciona com margens de existências estreitas; um único fecho de vários dias pode desencadear paragens nas linhas de produção na fábrica Volkswagen de Palmela. O protocolo operacional deverá, por isso, incluir disposições explícitas para o pré-posicionamento de carga JIT e rotas alternativas de cabotagem a partir de Sines para as exportações de veículos ligeiros. À semelhança de Leixões, as Opções 1 e 2 tornam-se progressivamente mais atrativas para além de meados do século e deverão ser avaliadas a um horizonte de 10 anos no contexto do ciclo de gestão de ativos da autoridade portuária do estuário do Sado.</w:t>
      </w:r>
    </w:p>
    <w:p>
      <w:pPr>
        <w:pStyle w:val="Heading2"/>
        <w:spacing w:after="160" w:before="400" w:line="360"/>
      </w:pPr>
      <w:r>
        <w:rPr>
          <w:rFonts w:ascii="Times New Roman" w:cs="Times New Roman" w:eastAsia="Times New Roman" w:hAnsi="Times New Roman"/>
          <w:b/>
          <w:bCs/>
          <w:sz w:val="26"/>
          <w:szCs w:val="26"/>
        </w:rPr>
        <w:t xml:space="preserve">5.5  Adaptação da Rede Rodoviária</w:t>
      </w:r>
    </w:p>
    <w:p>
      <w:pPr>
        <w:pStyle w:val="Heading3"/>
        <w:spacing w:after="120" w:before="240" w:line="360"/>
      </w:pPr>
      <w:r>
        <w:rPr>
          <w:rFonts w:ascii="Times New Roman" w:cs="Times New Roman" w:eastAsia="Times New Roman" w:hAnsi="Times New Roman"/>
          <w:b/>
          <w:bCs/>
          <w:sz w:val="24"/>
          <w:szCs w:val="24"/>
        </w:rPr>
        <w:t xml:space="preserve">5.5.1  Acesso Sul da Ponte Vasco da Gama</w:t>
      </w:r>
    </w:p>
    <w:p>
      <w:pPr>
        <w:spacing w:after="160" w:before="0" w:line="360"/>
        <w:jc w:val="both"/>
      </w:pPr>
      <w:r>
        <w:rPr>
          <w:rFonts w:ascii="Times New Roman" w:cs="Times New Roman" w:eastAsia="Times New Roman" w:hAnsi="Times New Roman"/>
          <w:sz w:val="24"/>
          <w:szCs w:val="24"/>
        </w:rPr>
        <w:t xml:space="preserve">Quadro 5.7: Opções de adaptação para o acesso sul da Ponte Vasco da Gama.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Elevação do acesso sul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€15/22/30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Comportas de maré (Reserva do Tejo)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€28/42/60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Gestão dinâmica de tráfego</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€3/8/15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(protocolos de gestão dinâmica de tráfego, €8 milhões de CAPEX médio) é a medida recomendada, atingindo o ponto de equilíbrio em 2039 no cenário SSP5-8.5/Baseline (intervalo: 2033–2044) e em 2031 em +Geóide. O protocolo ativa itinerários de desvio pré-definidos pela A2 e pela Ponte 25 de Abril quando as previsões de maré ultrapassam o limiar de inundação da secção, e coordena com a EN10 e a A12 para o reencaminhamento de veículos pesados. Com um CAPEX médio de €8 milhões, é a segunda opção recomendada mais barata entre as oito secções. A Opção 1 (elevação da via, €22 milhões) atinge o ponto de equilíbrio mais cedo do que a Opção 3 em alguns cenários (2042 vs. 2039 em SSP5-8.5/Baseline), mas com mais do dobro do CAPEX; o protocolo de desvio é o primeiro investimento preferencial no enquadramento de disrupção evitada. As comportas de maré da Opção 2 são arquitetonicamente complexas no contexto da Reserva Natural do Estuário do Tejo e exigiriam avaliação ambiental do impacte ecológico potencialmente significativo; o ponto de equilíbrio só é atingido em 2047 em SSP5-8.5/Baseline, tornando a Opção 2 a menos custo-eficaz das três.</w:t>
      </w:r>
    </w:p>
    <w:p>
      <w:pPr>
        <w:pStyle w:val="Heading3"/>
        <w:spacing w:after="120" w:before="240" w:line="360"/>
      </w:pPr>
      <w:r>
        <w:rPr>
          <w:rFonts w:ascii="Times New Roman" w:cs="Times New Roman" w:eastAsia="Times New Roman" w:hAnsi="Times New Roman"/>
          <w:b/>
          <w:bCs/>
          <w:sz w:val="24"/>
          <w:szCs w:val="24"/>
        </w:rPr>
        <w:t xml:space="preserve">5.5.2  Setor da A1 em Azambuja</w:t>
      </w:r>
    </w:p>
    <w:p>
      <w:pPr>
        <w:spacing w:after="160" w:before="0" w:line="360"/>
        <w:jc w:val="both"/>
      </w:pPr>
      <w:r>
        <w:rPr>
          <w:rFonts w:ascii="Times New Roman" w:cs="Times New Roman" w:eastAsia="Times New Roman" w:hAnsi="Times New Roman"/>
          <w:sz w:val="24"/>
          <w:szCs w:val="24"/>
        </w:rPr>
        <w:t xml:space="preserve">O setor da A1 em Azambuja fornece a ilustração mais clara deste estudo de por que as opções operacionais de baixo CAPEX superam frequentemente as opções estruturais de CAPEX elevado nas primeiras décadas do planeamento da adaptação. A maior cota de coroamento da secção (2,50 m NMM) e o período de retorno base mais longo (PR₀ = 20 anos) significam que uma disrupção significativa só se materializa na década de 2040 em SSP5-8.5/Baseline. Neste contexto, despender €115 milhões na elevação da faixa de rodagem hoje, para proteger contra uma disrupção que só se tornará material daqui a 20–25 anos, é significativamente menos custo-eficaz do que um investimento de €14 milhões em gestão de tráfego que capta o mesmo fluxo de custos de disrupção evitados muito mais cedo em termos absolutos.</w:t>
      </w:r>
    </w:p>
    <w:p>
      <w:pPr>
        <w:spacing w:after="160" w:before="0" w:line="360"/>
        <w:jc w:val="both"/>
      </w:pPr>
      <w:r>
        <w:rPr>
          <w:rFonts w:ascii="Times New Roman" w:cs="Times New Roman" w:eastAsia="Times New Roman" w:hAnsi="Times New Roman"/>
          <w:sz w:val="24"/>
          <w:szCs w:val="24"/>
        </w:rPr>
        <w:t xml:space="preserve">Quadro 5.8: Opções de adaptação para o setor da A1 em Azambuja. Os anos de ponto de equilíbrio correspondem a CAPEX-médio e TDDC-médio. ★ =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Descrição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(baixo/médio/alto)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+Geóide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Elevação da faixa de rodagem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€80/115/150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Barreiras + drenagem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€55/77/100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&gt;2100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Gestão dinâmica de tráfego</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€8/14/20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Opção 3 (protocolo de gestão dinâmica de tráfego, €14 milhões de CAPEX médio) é a medida recomendada com base na relação custo-eficácia, atingindo o ponto de equilíbrio em 2042 em SSP5-8.5/Baseline — 18 anos antes da Opção 1 (2060) e a 1/8 do CAPEX. O protocolo coordena com a CCDR LVT e a autarquia de Azambuja para pré-ativar o reencaminhamento pela A9 e A2 quando a previsão da planura aluvial do Tejo ultrapassar o nível limiar da A1, e inclui pré-despacho de veículos pesados provenientes do polo logístico de Azambuja. Em SSP1-2.6, as Opções 1 e 2 não atingem o ponto de equilíbrio até 2098 e depois de 2100, respetivamente, enquanto a Opção 3 o atinge em 2052 — confirmando que, em futuros de menores emissões, a intervenção estrutural nesta secção não está economicamente justificada dentro do horizonte do estudo. A Opção 1 (elevação da faixa de rodagem) deverá ser integrada numa revisão de gestão de ativos a longo prazo para o horizonte pós-2050, condicional às atualizações das trajetórias de SNM.</w:t>
      </w:r>
    </w:p>
    <w:p>
      <w:pPr>
        <w:pStyle w:val="Heading2"/>
        <w:spacing w:after="160" w:before="400" w:line="360"/>
      </w:pPr>
      <w:r>
        <w:rPr>
          <w:rFonts w:ascii="Times New Roman" w:cs="Times New Roman" w:eastAsia="Times New Roman" w:hAnsi="Times New Roman"/>
          <w:b/>
          <w:bCs/>
          <w:sz w:val="26"/>
          <w:szCs w:val="26"/>
        </w:rPr>
        <w:t xml:space="preserve">5.6  Portefólio Agregado de Adaptação</w:t>
      </w:r>
    </w:p>
    <w:p>
      <w:pPr>
        <w:spacing w:after="160" w:before="0" w:line="360"/>
        <w:jc w:val="both"/>
      </w:pPr>
      <w:r>
        <w:rPr>
          <w:rFonts w:ascii="Times New Roman" w:cs="Times New Roman" w:eastAsia="Times New Roman" w:hAnsi="Times New Roman"/>
          <w:sz w:val="24"/>
          <w:szCs w:val="24"/>
        </w:rPr>
        <w:t xml:space="preserve">O Quadro 5.9 sintetiza a opção de adaptação recomendada para cada uma das oito secções, juntamente com o CAPEX (estimativa média), o ano de ponto de equilíbrio em SSP5-8.5/Baseline e SSP5-8.5/+Geóide, e o custo de disrupção acumulado sem adaptação proveniente do Capítulo 4. O portefólio recomendado tem um CAPEX total com estimativa intermédia de </w:t>
      </w:r>
      <w:r>
        <w:rPr>
          <w:rFonts w:ascii="Times New Roman" w:cs="Times New Roman" w:eastAsia="Times New Roman" w:hAnsi="Times New Roman"/>
          <w:b/>
          <w:bCs/>
          <w:sz w:val="24"/>
          <w:szCs w:val="24"/>
        </w:rPr>
        <w:t xml:space="preserve">€307 milhões</w:t>
      </w:r>
      <w:r>
        <w:rPr>
          <w:rFonts w:ascii="Times New Roman" w:cs="Times New Roman" w:eastAsia="Times New Roman" w:hAnsi="Times New Roman"/>
          <w:sz w:val="24"/>
          <w:szCs w:val="24"/>
        </w:rPr>
        <w:t xml:space="preserve"> (baixo: €219 milhões; alto: €402 milhões), face a um custo de disrupção sem adaptação de €130,1 mil milhões — um rácio de 424:1 entre poupanças potenciais e custo de investimento na estimativa intermédia.</w:t>
      </w:r>
    </w:p>
    <w:p>
      <w:pPr>
        <w:spacing w:after="160" w:before="0" w:line="360"/>
        <w:jc w:val="both"/>
      </w:pPr>
      <w:r>
        <w:rPr>
          <w:rFonts w:ascii="Times New Roman" w:cs="Times New Roman" w:eastAsia="Times New Roman" w:hAnsi="Times New Roman"/>
          <w:sz w:val="24"/>
          <w:szCs w:val="24"/>
        </w:rPr>
        <w:t xml:space="preserve">Quadro 5.9: Síntese do portefólio de adaptação recomendado. Custo sem adaptação acumulado proveniente do Capítulo 4 (SSP5-8.5/Baseline/médio). Os anos de ponto de equilíbrio correspondem a CAPEX-médio e TDDC-médio.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Tipo</w:t>
            </w:r>
          </w:p>
        </w:tc>
        <w:tc>
          <w:tcPr>
            <w:tcW w:type="dxa" w:w="2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
Recomendada</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médio (€M)</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Custo sem adapt.
(€mil M)</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SSP5-8.5</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+Geóide</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Elevação da via</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80</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30,00</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2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w:t>
            </w:r>
          </w:p>
        </w:tc>
        <w:tc>
          <w:tcPr>
            <w:tcW w:type="dxa" w:w="1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3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2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w:t>
            </w:r>
          </w:p>
        </w:tc>
        <w:tc>
          <w:tcPr>
            <w:tcW w:type="dxa" w:w="1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3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Vale de Cheia do Tejo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Barreiras anti-cheia</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13,37</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Viaduto in situ</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7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2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9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0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2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300"/>
            <w:gridSpan w:val="1"/>
            <w:tcBorders>
              <w:top w:val="single" w:color="999999" w:sz="4"/>
              <w:left w:val="single" w:color="999999" w:sz="4"/>
              <w:bottom w:val="single" w:color="999999" w:sz="4"/>
              <w:right w:val="single" w:color="999999" w:sz="4"/>
            </w:tcBorders>
            <w:shd w:fill="E3F2FD" w:color="E3F2FD"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7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2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w:t>
            </w:r>
          </w:p>
        </w:tc>
        <w:tc>
          <w:tcPr>
            <w:tcW w:type="dxa" w:w="1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10,91</w:t>
            </w:r>
          </w:p>
        </w:tc>
        <w:tc>
          <w:tcPr>
            <w:tcW w:type="dxa" w:w="12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r>
        <w:tc>
          <w:tcPr>
            <w:tcW w:type="dxa" w:w="17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Acesso Sul VdG</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2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9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w:t>
            </w:r>
          </w:p>
        </w:tc>
        <w:tc>
          <w:tcPr>
            <w:tcW w:type="dxa" w:w="10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7,08</w:t>
            </w:r>
          </w:p>
        </w:tc>
        <w:tc>
          <w:tcPr>
            <w:tcW w:type="dxa" w:w="12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300"/>
            <w:gridSpan w:val="1"/>
            <w:tcBorders>
              <w:top w:val="single" w:color="999999" w:sz="4"/>
              <w:left w:val="single" w:color="999999" w:sz="4"/>
              <w:bottom w:val="single" w:color="999999" w:sz="4"/>
              <w:right w:val="single" w:color="999999" w:sz="4"/>
            </w:tcBorders>
            <w:shd w:fill="F3E5F5" w:color="F3E5F5"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TOTAL DO PORTEFÓLIO</w:t>
            </w:r>
          </w:p>
        </w:tc>
        <w:tc>
          <w:tcPr>
            <w:tcW w:type="dxa" w:w="9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20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9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307</w:t>
            </w:r>
          </w:p>
        </w:tc>
        <w:tc>
          <w:tcPr>
            <w:tcW w:type="dxa" w:w="10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130,11</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2029–2043</w:t>
            </w:r>
          </w:p>
        </w:tc>
        <w:tc>
          <w:tcPr>
            <w:tcW w:type="dxa" w:w="13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2029–2035</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A Figura 5.1 apresenta as curvas de custo de disrupção evitado acumulado para todas as oito opções recomendadas em SSP5-8.5/Baseline/médio. As linhas horizontais a tracejado representam o limiar de CAPEX para cada secção; o ponto de equilíbrio é atingido na intersecção de cada curva sólida com a respetiva linha a tracejado. O gráfico ilustra três padrões estruturais. Em primeiro lugar, as curvas de Aveiro, Porto de Lisboa e Porto de Setúbal aceleram de forma mais acentuada após 2030, refletindo o crescimento exponencial do custo de disrupção anual no modelo de cheia composta à medida que os níveis de SNM se aproximam e ultrapassam os limiares de período de retorno base destas secções. Em segundo lugar, as secções ferroviárias (Mondego, Tejo) e rodoviárias apresentam um perfil de acumulação mais gradual, com a aceleração mais acentuada a verificar-se após 2040, à medida que o modelo de cheia composta impulsiona os dias de fecho para o máximo de 365 dias. Em terceiro lugar, a curva da A1 em Azambuja é a mais plana a curto prazo (refletindo a sua maior elevação base e o período de retorno mais longo), mas atinge claramente o ponto de equilíbrio em 2042, devido ao limiar de CAPEX muito baixo da Opção 3.</w:t>
      </w:r>
    </w:p>
    <w:p>
      <w:pPr>
        <w:spacing w:after="0" w:before="240" w:line="360"/>
        <w:jc w:val="center"/>
      </w:pPr>
      <w:r>
        <w:drawing>
          <wp:inline distT="0" distB="0" distL="0" distR="0">
            <wp:extent cx="5619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7177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Figura 5.1: Curvas de ponto de equilíbrio para as opções de adaptação recomendadas, SSP5-8.5/Baseline/médio (2025–2100). Linhas sólidas: custo acumulado de disrupção evitado (proxy: custo anual de disrupção no cenário sem adaptação). Linhas horizontais a tracejado: limiar de CAPEX com estimativa intermédia para cada opção recomendada. O ponto de equilíbrio é atingido quando a curva sólida cruza a linha a tracejado correspondente. Cores: tons vermelho/laranja = secções ferroviárias; tons azul = secções portuárias; tons verde = secções rodoviárias.</w:t>
      </w:r>
    </w:p>
    <w:p>
      <w:pPr>
        <w:spacing w:after="160" w:before="0" w:line="360"/>
        <w:jc w:val="both"/>
      </w:pPr>
      <w:r>
        <w:rPr>
          <w:rFonts w:ascii="Times New Roman" w:cs="Times New Roman" w:eastAsia="Times New Roman" w:hAnsi="Times New Roman"/>
          <w:sz w:val="24"/>
          <w:szCs w:val="24"/>
        </w:rPr>
        <w:t xml:space="preserve">Uma conclusão estrutural fundamental da análise agregada é o predomínio das secções ferroviárias e portuárias na geração de valor do portefólio. As três secções ferroviárias contribuem coletivamente com €56,7 mil milhões de custo sem adaptação, mas exigem apenas €242 milhões de CAPEX recomendado (79% do total do portefólio), enquanto as três secções portuárias contribuem com €55,5 mil milhões mas exigem apenas €43 milhões (14% do total do portefólio) — porque todos os três portos são mais bem servidos por protocolos operacionais de baixo custo. As duas secções rodoviárias contribuem com €18,0 mil milhões de custo sem adaptação, com apenas €22 milhões de CAPEX combinado. A medida mais eficiente em termos de capital no portefólio, por larga margem, é o protocolo operacional do Porto de Setúbal, com €11 milhões para uma secção com €17,7 mil milhões de exposição sem adaptação.</w:t>
      </w:r>
    </w:p>
    <w:p>
      <w:pPr>
        <w:spacing w:after="160" w:before="0" w:line="360"/>
        <w:jc w:val="both"/>
      </w:pPr>
      <w:r>
        <w:rPr>
          <w:rFonts w:ascii="Times New Roman" w:cs="Times New Roman" w:eastAsia="Times New Roman" w:hAnsi="Times New Roman"/>
          <w:sz w:val="24"/>
          <w:szCs w:val="24"/>
        </w:rPr>
        <w:t xml:space="preserve">A análise do portefólio revela igualmente uma oportunidade de investimento partilhado no estuário do Tejo. O programa de barreiras no Tejo recomendado para a secção ferroviária (Opção 2, €42 milhões) reduziria, se concebido para proteger toda a abordagem do estuário, o risco de disrupção na infraestrutura terrestre do Porto de Lisboa. Concebida como um ativo partilhado à escala do estuário, a combinação do CAPEX poderia ser materialmente inferior à soma dos dois investimentos individuais, e a reserva de benefícios combinados (€13,4 mil milhões de via férrea + €27,3 mil milhões de porto) tornar-se-ia uma das oportunidades de investimento partilhado mais atrativas no âmbito deste portefólio. Esta oportunidade de ativo partilhado deverá ser prioritária para análise adicional de viabilidade de engenharia.</w:t>
      </w:r>
    </w:p>
    <w:p>
      <w:pPr>
        <w:pStyle w:val="Heading2"/>
        <w:spacing w:after="160" w:before="400" w:line="360"/>
      </w:pPr>
      <w:r>
        <w:rPr>
          <w:rFonts w:ascii="Times New Roman" w:cs="Times New Roman" w:eastAsia="Times New Roman" w:hAnsi="Times New Roman"/>
          <w:b/>
          <w:bCs/>
          <w:sz w:val="26"/>
          <w:szCs w:val="26"/>
        </w:rPr>
        <w:t xml:space="preserve">5.7  Análise de Sensibilidade ao VPL</w:t>
      </w:r>
    </w:p>
    <w:p>
      <w:pPr>
        <w:spacing w:after="160" w:before="0" w:line="360"/>
        <w:jc w:val="both"/>
      </w:pPr>
      <w:r>
        <w:rPr>
          <w:rFonts w:ascii="Times New Roman" w:cs="Times New Roman" w:eastAsia="Times New Roman" w:hAnsi="Times New Roman"/>
          <w:sz w:val="24"/>
          <w:szCs w:val="24"/>
        </w:rPr>
        <w:t xml:space="preserve">Todos os anos de ponto de equilíbrio reportados nas Secções 5.3–5.6 são calculados sem desconto (taxa de desconto real de 0%), em coerência com a apresentação no Capítulo 4 e com o objetivo de transparência do enquadramento de custo acumulado. Esta secção apresenta o efeito da aplicação de taxas de desconto reais de 1,4% (taxa de desconto social da Revisão Stern para riscos climáticos de longo prazo; Stern, 2007) e 3% (estimativa central amplamente utilizada para a avaliação de projetos públicos nos Estados-Membros da UE) sobre o ano de ponto de equilíbrio da opção recomendada em cada secção. Sob um desconto positivo, as poupanças futuras valem menos em termos de valor presente do que os seus equivalentes nominais, alargando sistematicamente o ano de ponto de equilíbrio atualizado relativamente à linha de base não atualizada. A direção e a magnitude deste desfasamento dependem do momento em que a maior parte das poupanças de disrupção evitadas se concentra no fluxo de poupanças.</w:t>
      </w:r>
    </w:p>
    <w:p>
      <w:pPr>
        <w:spacing w:after="160" w:before="0" w:line="360"/>
        <w:jc w:val="both"/>
      </w:pPr>
      <w:r>
        <w:rPr>
          <w:rFonts w:ascii="Times New Roman" w:cs="Times New Roman" w:eastAsia="Times New Roman" w:hAnsi="Times New Roman"/>
          <w:sz w:val="24"/>
          <w:szCs w:val="24"/>
        </w:rPr>
        <w:t xml:space="preserve">Quadro 5.10: Análise de sensibilidade ao VPL para as opções de adaptação recomendadas, SSP5-8.5/Baseline/médio. Anos de ponto de equilíbrio a três taxas de desconto reais. O custo anual de disrupção evitada é aproximado a partir do resultado de custo anual do modelo de cheia composta do Pilar 3, como proxy das poupanças anuais sob a opção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1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Opção Recomendada</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médio (€M)</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a 0%</w:t>
            </w:r>
          </w:p>
        </w:tc>
        <w:tc>
          <w:tcPr>
            <w:tcW w:type="dxa" w:w="16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a 1,4%
(Stern)</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 a 3%</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Elevação da via</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Vale de Cheia do Tejo</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Barreiras anti-cheia</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Viaduto in situ</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Protocolo operacional</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Acesso Sul VdG</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Gestão de tráfego</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r>
    </w:tbl>
    <w:p>
      <w:pPr>
        <w:spacing w:after="160" w:before="0" w:line="360"/>
        <w:jc w:val="both"/>
      </w:pPr>
    </w:p>
    <w:p>
      <w:pPr>
        <w:spacing w:after="160" w:before="0" w:line="360"/>
        <w:jc w:val="both"/>
      </w:pPr>
      <w:r>
        <w:t>Os resultados da sensibilidade ao VPL são notavelmente robustos. As opções recomendadas atingem o ponto de equilíbrio nas três taxas de desconto e em todas as oito secções dentro do horizonte do estudo (2100), com os anos de ponto de equilíbrio atualizados a deslocarem-se, no máximo, três anos relativamente à linha de base sem desconto (a secção do Mondego, Opção 1, desloca-se de 2042 para 2045 a 3%). Esta robustez reflete duas características estruturais da análise. Em primeiro lugar, as opções recomendadas têm predominantemente um CAPEX baixo (€8–€42 milhões em seis das oito secções), o que significa que o limiar de CAPEX é ultrapassado cedo no fluxo de poupanças, quando os custos de disrupção evitados acumulados ainda são modestos. Em segundo lugar, para as secções em que os custos de disrupção crescem exponencialmente no modelo de cheia composta (portos, Aveiro), as poupanças de disrupção evitadas estão fortemente concentradas a meio do século, o que significa que o desconto a taxas moderadas não atrasa significativamente o ponto em que as poupanças acumuladas iniciais superam o baixo limiar de CAPEX. A secção do Mondego (o maior CAPEX recomendado, €120 milhões) apresenta a maior sensibilidade ao desconto, com um desfasamento de 3 anos a uma taxa de desconto de 3%.</w:t>
      </w:r>
    </w:p>
    <w:p>
      <w:pPr>
        <w:spacing w:after="160" w:before="0" w:line="360"/>
        <w:jc w:val="both"/>
      </w:pPr>
      <w:r>
        <w:rPr>
          <w:rFonts w:ascii="Times New Roman" w:cs="Times New Roman" w:eastAsia="Times New Roman" w:hAnsi="Times New Roman"/>
          <w:sz w:val="24"/>
          <w:szCs w:val="24"/>
        </w:rPr>
        <w:t xml:space="preserve">A implicação é que o argumento de investimento em adaptação apresentado neste capítulo não é sensível à escolha da taxa de desconto social dentro do intervalo normalmente considerado na avaliação de projetos públicos da UE. Mesmo a uma taxa de desconto real de 3%, todas as opções recomendadas apresentam VPL positivo dentro do horizonte 2025–2100 em SSP5-8.5. Os resultados de ponto de equilíbrio atualizados permanecem favoráveis em toda a gama de taxas de desconto examinada.</w:t>
      </w:r>
    </w:p>
    <w:p>
      <w:pPr>
        <w:pStyle w:val="Heading2"/>
        <w:spacing w:after="160" w:before="400" w:line="360"/>
      </w:pPr>
      <w:r>
        <w:rPr>
          <w:rFonts w:ascii="Times New Roman" w:cs="Times New Roman" w:eastAsia="Times New Roman" w:hAnsi="Times New Roman"/>
          <w:b/>
          <w:bCs/>
          <w:sz w:val="26"/>
          <w:szCs w:val="26"/>
        </w:rPr>
        <w:t xml:space="preserve">5.8  Síntese do Capítulo</w:t>
      </w:r>
    </w:p>
    <w:p>
      <w:pPr>
        <w:spacing w:after="160" w:before="0" w:line="360"/>
        <w:jc w:val="both"/>
      </w:pPr>
      <w:r>
        <w:rPr>
          <w:rFonts w:ascii="Times New Roman" w:cs="Times New Roman" w:eastAsia="Times New Roman" w:hAnsi="Times New Roman"/>
          <w:sz w:val="24"/>
          <w:szCs w:val="24"/>
        </w:rPr>
        <w:t xml:space="preserve">Este capítulo avaliou a justificação económica do investimento em adaptação nas oito secções de infraestrutura do Pilar 3, apresentando um portefólio de medidas recomendadas e demonstrando a sua robustez face a cenários, taxas de desconto e intervalos de incerteza de CAPEX.</w:t>
      </w:r>
    </w:p>
    <w:p>
      <w:pPr>
        <w:spacing w:after="160" w:before="0" w:line="360"/>
        <w:jc w:val="both"/>
      </w:pPr>
      <w:r>
        <w:rPr>
          <w:rFonts w:ascii="Times New Roman" w:cs="Times New Roman" w:eastAsia="Times New Roman" w:hAnsi="Times New Roman"/>
          <w:sz w:val="24"/>
          <w:szCs w:val="24"/>
        </w:rPr>
        <w:t xml:space="preserve">O portefólio recomendado exige um CAPEX total com estimativa intermédia de €307 milhões, abrangendo intervenções estruturais direcionadas nas secções ferroviárias (elevação da via em Aveiro, barreiras anti-cheia no Tejo, viaduto in situ no Mondego) e protocolos operacionais de baixo custo nos três portos e em ambas as secções rodoviárias. Este investimento de €307 milhões contrasta com um custo de disrupção sem adaptação de €130,1 mil milhões em SSP5-8.5/Baseline, representando um rácio modelado de 424:1 entre o potencial de custo de disrupção evitado e o CAPEX de adaptação no âmbito deste estudo. O intervalo de anos de ponto de equilíbrio do portefólio vai de 2029 (Aveiro, SSP5-8.5) a 2043 (Leixões, SSP5-8.5/Baseline), confirmando que existe adaptação economicamente justificada em todas as oito secções, bem dentro do horizonte do estudo.</w:t>
      </w:r>
    </w:p>
    <w:p>
      <w:pPr>
        <w:spacing w:after="160" w:before="0" w:line="360"/>
        <w:jc w:val="both"/>
      </w:pPr>
      <w:r>
        <w:rPr>
          <w:rFonts w:ascii="Times New Roman" w:cs="Times New Roman" w:eastAsia="Times New Roman" w:hAnsi="Times New Roman"/>
          <w:sz w:val="24"/>
          <w:szCs w:val="24"/>
        </w:rPr>
        <w:t xml:space="preserve">O caso de ponto de equilíbrio mais precoce é a elevação da via na secção da Ria de Aveiro (€80 milhões), onde o ponto de equilíbrio na variante +Geóide está projetado para tão cedo quanto 2029 e o risco de rutura irreversível da barreira na Zona B exige um compromisso estrutural precoce. Os investimentos mais eficientes em termos de capital são os protocolos operacionais nos três portos (€11–17 milhões cada), nos quais os limiares de CAPEX muito baixos são rapidamente ultrapassados à medida que os custos de disrupção portuária começam a acelerar. O setor da A1 em Azambuja fornece a ilustração mais clara de por que as medidas operacionais de baixo CAPEX superam frequentemente as opções estruturais de CAPEX elevado em portefólios de adaptação com longos prazos de execução: com €14 milhões, a Opção 3 atinge o ponto de equilíbrio 18 anos antes do que a Opção 1 de elevação da faixa de rodagem, de €115 milhões.</w:t>
      </w:r>
    </w:p>
    <w:p>
      <w:pPr>
        <w:spacing w:after="160" w:before="0" w:line="360"/>
        <w:jc w:val="both"/>
      </w:pPr>
      <w:r>
        <w:rPr>
          <w:rFonts w:ascii="Times New Roman" w:cs="Times New Roman" w:eastAsia="Times New Roman" w:hAnsi="Times New Roman"/>
          <w:sz w:val="24"/>
          <w:szCs w:val="24"/>
        </w:rPr>
        <w:t xml:space="preserve">Destacam-se três conclusões transversais da análise do portefólio agregado. Em primeiro lugar, a variante com desvio geóide (Seeger &amp; Minderhoud, 2026) antecipa sistematicamente os anos de ponto de equilíbrio em 4–8 anos em todas as secções e opções, reforçando materialmente o argumento de investimento e sugerindo que os anos de ponto de equilíbrio da linha de base do IPCC AR6 deverão ser tratados como um limite superior conservador para as decisões de cronologia da adaptação. Em segundo lugar, um investimento partilhado na barreira do estuário do Tejo capturaria os benefícios de poupança da secção ferroviária do Tejo (€13,4 mil milhões de custo sem adaptação) e do Porto de Lisboa (€27,3 mil milhões de custo sem adaptação) a um CAPEX combinado potencialmente inferior à soma dos dois investimentos individuais recomendados, representando uma das oportunidades de investimento multi-partes mais atrativas do portefólio. Em terceiro lugar, a análise de sensibilidade ao VPL confirma que o portefólio de adaptação está indicado como custo-eficaz para taxas de desconto entre 0% e 3%, com desfasamentos máximos do ano de ponto de equilíbrio de três anos à taxa de 3%, bem dentro de qualquer horizonte de planeamento razoável.</w:t>
      </w:r>
    </w:p>
    <w:p>
      <w:pPr>
        <w:spacing w:after="160" w:before="0" w:line="360"/>
        <w:jc w:val="both"/>
      </w:pPr>
      <w:r>
        <w:rPr>
          <w:rFonts w:ascii="Times New Roman" w:cs="Times New Roman" w:eastAsia="Times New Roman" w:hAnsi="Times New Roman"/>
          <w:sz w:val="24"/>
          <w:szCs w:val="24"/>
        </w:rPr>
        <w:t xml:space="preserve">O Capítulo 6 sintetiza os resultados de todos os cinco capítulos, discute as limitações e contributos do estudo para a literatura de avaliação do risco costeiro, e propõe orientações para investigação futura e aplicação política.</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1ec7b0c22c99674597fd71810294b7e13184d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2026-05-02T18:46:16.237Z</dcterms:created>
  <dcterms:modified xsi:type="dcterms:W3CDTF">2026-05-02T18:46:16.238Z</dcterms:modified>
</cp:coreProperties>
</file>

<file path=docProps/custom.xml><?xml version="1.0" encoding="utf-8"?>
<Properties xmlns="http://schemas.openxmlformats.org/officeDocument/2006/custom-properties" xmlns:vt="http://schemas.openxmlformats.org/officeDocument/2006/docPropsVTypes"/>
</file>