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Capítulo 6: Discussão e Conclusões</w:t>
      </w:r>
    </w:p>
    <w:p>
      <w:pPr>
        <w:pStyle w:val="Heading2"/>
        <w:spacing w:after="160" w:before="400" w:line="360"/>
      </w:pPr>
      <w:r>
        <w:rPr>
          <w:rFonts w:ascii="Times New Roman" w:cs="Times New Roman" w:eastAsia="Times New Roman" w:hAnsi="Times New Roman"/>
          <w:b/>
          <w:bCs/>
          <w:sz w:val="26"/>
          <w:szCs w:val="26"/>
        </w:rPr>
        <w:t xml:space="preserve">6.1  Visão Geral do Capítulo</w:t>
      </w:r>
    </w:p>
    <w:p>
      <w:pPr>
        <w:spacing w:after="160" w:before="0" w:line="360"/>
        <w:jc w:val="both"/>
      </w:pPr>
      <w:r>
        <w:rPr>
          <w:rFonts w:ascii="Times New Roman" w:cs="Times New Roman" w:eastAsia="Times New Roman" w:hAnsi="Times New Roman"/>
          <w:sz w:val="24"/>
          <w:szCs w:val="24"/>
        </w:rPr>
        <w:t xml:space="preserve">Este capítulo sintetiza os resultados da dissertação ao longo dos seus cinco capítulos analíticos, formula conclusões sobre as consequências económicas e de infraestruturas da subida do nível do mar (SNM) em Portugal, e avalia o contributo do estudo para a literatura de avaliação do risco costeiro. O capítulo está estruturado da seguinte forma: a Secção 6.2 apresenta uma síntese integrada dos principais resultados quantitativos por pilar; a Secção 6.3 discute os contributos do estudo para o conhecimento; a Secção 6.4 aborda as principais limitações do quadro analítico; a Secção 6.5 considera as implicações dos resultados para as políticas públicas; a Secção 6.6 propõe orientações para investigação futura; e a Secção 6.7 apresenta as considerações finais.</w:t>
      </w:r>
    </w:p>
    <w:p>
      <w:pPr>
        <w:spacing w:after="160" w:before="0" w:line="360"/>
        <w:jc w:val="both"/>
      </w:pPr>
      <w:r>
        <w:rPr>
          <w:rFonts w:ascii="Times New Roman" w:cs="Times New Roman" w:eastAsia="Times New Roman" w:hAnsi="Times New Roman"/>
          <w:sz w:val="24"/>
          <w:szCs w:val="24"/>
        </w:rPr>
        <w:t xml:space="preserve">A dissertação propôs-se responder a três questões de investigação: (QI1) Qual o PIB e as infraestruturas físicas expostos à inundação por SNM em Portugal no horizonte de 2100? (QI2) Qual a disrupção operacional e económica nas redes de infraestrutura crítica em cada cenário do IPCC AR6? (QI3) A partir de quando os investimentos em adaptação atingem o ponto de equilíbrio face aos custos de disrupção projetados? Cada questão de investigação foi abordada através de um pilar analítico dedicado e as respostas, tomadas em conjunto, constituem um quadro quantitativo de avaliação do risco autossuficiente para a ameaça da SNM às infraestruturas costeiras portuguesas no horizonte 2025–2100.</w:t>
      </w:r>
    </w:p>
    <w:p>
      <w:pPr>
        <w:pStyle w:val="Heading2"/>
        <w:spacing w:after="160" w:before="400" w:line="360"/>
      </w:pPr>
      <w:r>
        <w:rPr>
          <w:rFonts w:ascii="Times New Roman" w:cs="Times New Roman" w:eastAsia="Times New Roman" w:hAnsi="Times New Roman"/>
          <w:b/>
          <w:bCs/>
          <w:sz w:val="26"/>
          <w:szCs w:val="26"/>
        </w:rPr>
        <w:t xml:space="preserve">6.2  Síntese dos Principais Resultados</w:t>
      </w:r>
    </w:p>
    <w:p>
      <w:pPr>
        <w:pStyle w:val="Heading3"/>
        <w:spacing w:after="120" w:before="240" w:line="360"/>
      </w:pPr>
      <w:r>
        <w:rPr>
          <w:rFonts w:ascii="Times New Roman" w:cs="Times New Roman" w:eastAsia="Times New Roman" w:hAnsi="Times New Roman"/>
          <w:b/>
          <w:bCs/>
          <w:sz w:val="24"/>
          <w:szCs w:val="24"/>
        </w:rPr>
        <w:t xml:space="preserve">6.2.1  Pilar 1: Exposição Económica e PIB em Risco</w:t>
      </w:r>
    </w:p>
    <w:p>
      <w:pPr>
        <w:spacing w:after="160" w:before="0" w:line="360"/>
        <w:jc w:val="both"/>
      </w:pPr>
      <w:r>
        <w:rPr>
          <w:rFonts w:ascii="Times New Roman" w:cs="Times New Roman" w:eastAsia="Times New Roman" w:hAnsi="Times New Roman"/>
          <w:sz w:val="24"/>
          <w:szCs w:val="24"/>
        </w:rPr>
        <w:t xml:space="preserve">O modelo de inundação estática aplicado no Pilar 1 identificou 12 regiões NUTS3 costeiras como materialmente expostas à SNM nos três cenários do IPCC AR6. No cenário de referência SSP5-8.5 para 2100, a análise estimou aproximadamente </w:t>
      </w:r>
      <w:r>
        <w:rPr>
          <w:rFonts w:ascii="Times New Roman" w:cs="Times New Roman" w:eastAsia="Times New Roman" w:hAnsi="Times New Roman"/>
          <w:b/>
          <w:bCs/>
          <w:sz w:val="24"/>
          <w:szCs w:val="24"/>
        </w:rPr>
        <w:t xml:space="preserve">€5,30 mil milhões</w:t>
      </w:r>
      <w:r>
        <w:rPr>
          <w:rFonts w:ascii="Times New Roman" w:cs="Times New Roman" w:eastAsia="Times New Roman" w:hAnsi="Times New Roman"/>
          <w:sz w:val="24"/>
          <w:szCs w:val="24"/>
        </w:rPr>
        <w:t xml:space="preserve"> de PIB em risco sob pressupostos de referência, subindo para €6,35 mil milhões na variante de sensibilidade ajustada ao geóide (+Geóide). Estes valores representam, respetivamente, aproximadamente 2,1% e 2,5% do PIB nominal de Portugal em 2023, confirmando que a exposição macroeconómica à SNM é material mas não existencial à escala nacional. É importante assinalar que a métrica do Pilar 1 — PIB em risco de disrupção — é uma medida de fluxo económico anual: quantifica o valor da atividade económica que seria perturbada pela inundação num dado ano, e não o custo de substituição dos ativos físicos expostos, que é objeto do Pilar 2. As duas métricas são complementares e não aditivas, respondendo a questões distintas: o Pilar 1 capta a vulnerabilidade da economia produtiva, enquanto o Pilar 2 capta o stock de capital em risco de dano físico. Ao nível NUTS3, porém, a distribuição é fortemente assimétrica: as três regiões de maior exposição — Grande Lisboa, Península de Setúbal e Região de Aveiro — representam uma quota desproporcionada do PIB exposto, refletindo a concentração da atividade económica na área metropolitana de Lisboa e nos corredores estuarinos industrializados do Tejo e do Mondego.</w:t>
      </w:r>
    </w:p>
    <w:p>
      <w:pPr>
        <w:spacing w:after="160" w:before="0" w:line="360"/>
        <w:jc w:val="both"/>
      </w:pPr>
      <w:r>
        <w:rPr>
          <w:rFonts w:ascii="Times New Roman" w:cs="Times New Roman" w:eastAsia="Times New Roman" w:hAnsi="Times New Roman"/>
          <w:sz w:val="24"/>
          <w:szCs w:val="24"/>
        </w:rPr>
        <w:t xml:space="preserve">A análise do Pilar 1 confirmou o padrão espacial antecipado pela literatura: a exposição é não linear em relação à magnitude da SNM. No cenário SSP1-2.6, a inundação fica largamente confinada às margens estuarinas e lagunares de menor altitude; no cenário SSP5-8.5, a inundação estende-se significativamente para o interior, em particular no sistema lagunar da Ria de Aveiro e nas planícies aluviais do Tejo e do Mondego. A sensibilidade ao desvio do geóide, que acrescenta mais 0,15 m aos níveis de SNM projetados, é suficiente para deslocar várias secções da categoria de “exposição moderada” para a de “exposição significativa”. Esta não linearidade é importante para as políticas públicas: mesmo reduções relativamente modestas nas trajetórias de emissões — por exemplo, de SSP5-8.5 para SSP2-4.5 — podem produzir reduções materiais na exposição física.</w:t>
      </w:r>
    </w:p>
    <w:p>
      <w:pPr>
        <w:pStyle w:val="Heading3"/>
        <w:spacing w:after="120" w:before="240" w:line="360"/>
      </w:pPr>
      <w:r>
        <w:rPr>
          <w:rFonts w:ascii="Times New Roman" w:cs="Times New Roman" w:eastAsia="Times New Roman" w:hAnsi="Times New Roman"/>
          <w:b/>
          <w:bCs/>
          <w:sz w:val="24"/>
          <w:szCs w:val="24"/>
        </w:rPr>
        <w:t xml:space="preserve">6.2.2  Pilar 2: Exposição de Ativos e Custo de Substituição de Infraestruturas</w:t>
      </w:r>
    </w:p>
    <w:p>
      <w:pPr>
        <w:spacing w:after="160" w:before="0" w:line="360"/>
        <w:jc w:val="both"/>
      </w:pPr>
      <w:r>
        <w:rPr>
          <w:rFonts w:ascii="Times New Roman" w:cs="Times New Roman" w:eastAsia="Times New Roman" w:hAnsi="Times New Roman"/>
          <w:sz w:val="24"/>
          <w:szCs w:val="24"/>
        </w:rPr>
        <w:t xml:space="preserve">O Pilar 2 alargou a análise espacial ao stock de ativos físicos na zona de inundação, estimando o custo de substituição de edifícios e infraestruturas expostos à inundação por SNM nas 12 regiões NUTS3 costeiras. A análise de exposição de ativos recorreu a dados de densidade de edifícios do Recenseamento INE 2021, a multiplicadores de pisos específicos por região e a referências de custo de construção, para produzir estimativas de custo de substituição espacialmente diferenciadas. Os resultados do Pilar 2 estabeleceram o contexto de densidade de infraestruturas no qual se insere a análise de custo de disrupção do Pilar 3: a concentração de ativos com elevado custo de substituição nas regiões NUTS3 da Grande Lisboa e da Península de Setúbal reflete-se diretamente nas elevadas taxas diárias de disrupção atribuídas ao Porto de Lisboa e ao acesso sul da Ponte Vasco da Gama no Pilar 3.</w:t>
      </w:r>
    </w:p>
    <w:p>
      <w:pPr>
        <w:spacing w:after="160" w:before="0" w:line="360"/>
        <w:jc w:val="both"/>
      </w:pPr>
      <w:r>
        <w:rPr>
          <w:rFonts w:ascii="Times New Roman" w:cs="Times New Roman" w:eastAsia="Times New Roman" w:hAnsi="Times New Roman"/>
          <w:sz w:val="24"/>
          <w:szCs w:val="24"/>
        </w:rPr>
        <w:t xml:space="preserve">A análise de agrupamento K-Means das 12 regiões NUTS3 costeiras (§3.7) produziu quatro níveis de risco num espaço de variáveis composto, integrando a extensão da inundação, o PIB em risco, a fração inundada e o custo de substituição de infraestruturas. O nível de Risco Prioritário é composto exclusivamente pela Grande Lisboa, cujo custo de substituição de infraestruturas (65,3 mil milhões de euros) e PIB em risco (4,48 mil milhões de euros) excedem os de todas as outras regiões por quase uma ordem de grandeza, refletindo a concentração da atividade económica na planície aluvial do estuário do Tejo. O nível de Risco Elevado agrupa três regiões (Aveiro, Península de Setúbal, Algarve) com stock de infraestruturas elevado e exposição económica não negligenciável, embora numa ordem de grandeza abaixo da Grande Lisboa. O nível de Risco Moderado abrange sete regiões, incluindo a Área Metropolitana do Porto, que, apesar do seu PIB total elevado, é classificada como risco moderado porque a grande maioria da sua atividade económica se situa em terreno elevado bem acima de qualquer cenário de SNM. O nível de Risco Baixo é composto exclusivamente pela Região de Leiria, cujo terreno costeiro constitui uma barreira natural contra a inundação mesmo no cenário mais extremo. Todas as oito secções do Pilar 3 enquadram-se em regiões NUTS3 classificadas como Risco Elevado ou Risco Prioritário, confirmando que a lógica espacial da tipologia de agrupamento é consistente com a análise de disrupção de infraestruturas. A separação dos agrupamentos foi suportada pela análise de silhueta (pontuação em k = 4: 0,414), e a pré-transformação log1p foi necessária para produzir uma diferenciação significativa na presença de distribuições de exposição fortemente enviesadas à direita.</w:t>
      </w:r>
    </w:p>
    <w:p>
      <w:pPr>
        <w:pStyle w:val="Heading3"/>
        <w:spacing w:after="120" w:before="240" w:line="360"/>
      </w:pPr>
      <w:r>
        <w:rPr>
          <w:rFonts w:ascii="Times New Roman" w:cs="Times New Roman" w:eastAsia="Times New Roman" w:hAnsi="Times New Roman"/>
          <w:b/>
          <w:bCs/>
          <w:sz w:val="24"/>
          <w:szCs w:val="24"/>
        </w:rPr>
        <w:t xml:space="preserve">6.2.3  Pilar 3: Custos de Disrupção por Cheia Composta</w:t>
      </w:r>
    </w:p>
    <w:p>
      <w:pPr>
        <w:spacing w:after="160" w:before="0" w:line="360"/>
        <w:jc w:val="both"/>
      </w:pPr>
      <w:r>
        <w:rPr>
          <w:rFonts w:ascii="Times New Roman" w:cs="Times New Roman" w:eastAsia="Times New Roman" w:hAnsi="Times New Roman"/>
          <w:sz w:val="24"/>
          <w:szCs w:val="24"/>
        </w:rPr>
        <w:t xml:space="preserve">O modelo de cheia composta no Pilar 3 constitui o núcleo analítico da dissertação. Traduz a exposição física à SNM em estimativas de custo de disrupção económica, projetando os dias anuais de encerramento por inundação em cada uma das oito secções de infraestrutura crítica à medida que a SNM aumenta, e aplicando taxas diárias de disrupção (TDD) específicas de cada secção para converter os dias de encerramento em fluxos anuais de custo. O modelo aplica um parâmetro de aceleração exponencial predefinido (k = ln(2)/0,10 ≈ 6,93 m⁻¹) quando não estão disponíveis dados de calibração específicos da secção, o que implica que os períodos de retorno das cheias diminuem para metade por cada 0,10 m adicional de SNM, em consonância com a literatura sobre a frequência de cheias compostas (Moftakhari et al., 2017). Os custos acumulados de disrupção sem adaptação resultantes, agregados nas oito secções para o período 2025–2100, totalizam </w:t>
      </w:r>
      <w:r>
        <w:rPr>
          <w:rFonts w:ascii="Times New Roman" w:cs="Times New Roman" w:eastAsia="Times New Roman" w:hAnsi="Times New Roman"/>
          <w:b/>
          <w:bCs/>
          <w:sz w:val="24"/>
          <w:szCs w:val="24"/>
        </w:rPr>
        <w:t xml:space="preserve">130,1 mil milhões de euros</w:t>
      </w:r>
      <w:r>
        <w:rPr>
          <w:rFonts w:ascii="Times New Roman" w:cs="Times New Roman" w:eastAsia="Times New Roman" w:hAnsi="Times New Roman"/>
          <w:sz w:val="24"/>
          <w:szCs w:val="24"/>
        </w:rPr>
        <w:t xml:space="preserve"> no cenário SSP5-8.5/Referência/médio — uma estimativa modelada do custo direto de disrupção no âmbito deste estudo, e não uma previsão da perda total à escala da economia.</w:t>
      </w:r>
    </w:p>
    <w:p>
      <w:pPr>
        <w:spacing w:after="160" w:before="0" w:line="360"/>
        <w:jc w:val="both"/>
      </w:pPr>
      <w:r>
        <w:rPr>
          <w:rFonts w:ascii="Times New Roman" w:cs="Times New Roman" w:eastAsia="Times New Roman" w:hAnsi="Times New Roman"/>
          <w:sz w:val="24"/>
          <w:szCs w:val="24"/>
        </w:rPr>
        <w:t xml:space="preserve">O custo acumulado de disrupção do Pilar 3 (130,1 mil milhões de euros) e o valor anual de PIB em risco do Pilar 1 (5,30 mil milhões de euros) não são comparáveis entre si e não devem ser interpretados em conjunto. O primeiro representa 75 anos de perdas operacionais acumuladas sob um pressuposto de ausência de adaptação; o segundo representa um instantâneo da exposição económica anual a um dado limiar de SNM num único ano. Interpretar as duas figuras como aditivas, como rácios uma da outra, ou como medindo a mesma grandeza subjacente seria metodologicamente incorreto. São medidas complementares que respondem a questões de política distintas: o Pilar 1 caracteriza a capacidade produtiva anual em risco de perturbação; o Pilar 3 caracteriza o custo operacional pluridecenial da degradação das redes de infraestruturas num cenário de ausência de adaptação. A comparação adequada para o Pilar 3 não é o PIB em risco do Pilar 1 mas o CAPEX de adaptação do Capítulo 5: é em relação ao custo de disrupção evitado que se avalia o mérito económico do investimento.</w:t>
      </w:r>
    </w:p>
    <w:p>
      <w:pPr>
        <w:spacing w:after="160" w:before="0" w:line="360"/>
        <w:jc w:val="both"/>
      </w:pPr>
      <w:r>
        <w:rPr>
          <w:rFonts w:ascii="Times New Roman" w:cs="Times New Roman" w:eastAsia="Times New Roman" w:hAnsi="Times New Roman"/>
          <w:sz w:val="24"/>
          <w:szCs w:val="24"/>
        </w:rPr>
        <w:t xml:space="preserve">O Quadro 6.1 apresenta os custos acumulados de disrupção sem adaptação para as oito secções no cenário SSP5-8.5/Referência/médio. A secção da Ria de Aveiro é a maior contribuidora individual (30,0 mil milhões de euros, 23,1% do total), impulsionada pela sua altitude muito baixa (Zona B a 0,7 m acima do NMM) e pelo limiar binário de ruptura da barreira, que converte um deslocamento na frequência de cheias em risco de encerramento permanente a partir de meados da década de 2030, na variante +Geóide. As três secções portuárias representam coletivamente 55,4 mil milhões de euros (43% do total), com o Porto de Lisboa a contribuir sozinho com 27,3 mil milhões de euros — reflexo da sua posição como maior terminal de contentores e carga geral de Portugal e das elevadas TDD associadas à sua exposição estuarina. As três secções ferroviárias representam 56,7 mil milhões de euros (44%) e as duas secções rodoviárias 18,0 mil milhões de euros (14%).</w:t>
      </w:r>
    </w:p>
    <w:p>
      <w:pPr>
        <w:spacing w:after="160" w:before="0" w:line="360"/>
        <w:jc w:val="both"/>
      </w:pPr>
      <w:r>
        <w:rPr>
          <w:rFonts w:ascii="Times New Roman" w:cs="Times New Roman" w:eastAsia="Times New Roman" w:hAnsi="Times New Roman"/>
          <w:sz w:val="24"/>
          <w:szCs w:val="24"/>
        </w:rPr>
        <w:t xml:space="preserve">Quadro 6.1: Custo acumulado de disrupção sem adaptação por secção, SSP5-8.5/Referência/médio (2025–2100). Fonte: Capítulo 4, modelo Pilar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12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Tipo</w:t>
            </w:r>
          </w:p>
        </w:tc>
        <w:tc>
          <w:tcPr>
            <w:tcW w:type="dxa" w:w="18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Custo sem adapt.
(€mil M)</w:t>
            </w:r>
          </w:p>
        </w:tc>
        <w:tc>
          <w:tcPr>
            <w:tcW w:type="dxa" w:w="1400"/>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Quota do
total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30,00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Planície do Tejo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10,3%</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10,2%</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10,91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8,4%</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Acesso sul VdG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7,08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5,4%</w:t>
            </w:r>
          </w:p>
        </w:tc>
      </w:tr>
      <w:tr>
        <w:tc>
          <w:tcPr>
            <w:tcW w:type="dxa" w:w="2600"/>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TOTAL</w:t>
            </w:r>
          </w:p>
        </w:tc>
        <w:tc>
          <w:tcPr>
            <w:tcW w:type="dxa" w:w="1200"/>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Todos</w:t>
            </w:r>
          </w:p>
        </w:tc>
        <w:tc>
          <w:tcPr>
            <w:tcW w:type="dxa" w:w="1800"/>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130,11</w:t>
            </w:r>
          </w:p>
        </w:tc>
        <w:tc>
          <w:tcPr>
            <w:tcW w:type="dxa" w:w="1400"/>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100,0%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verificação de consistência com os marémetros no Capítulo 4 (§4.6–4.7) forneceu suporte indicativo para o quadro de cenários, confirmando que as tendências observadas do nível do mar nas estações de marémetros portuguesas com registos históricos extensos são direcionalmente consistentes com as trajetórias de cenário do IPCC AR6. A tendência observada pós-1993 em Leixões (+3,16 mm/ano) é diretamente consistente com o intervalo da taxa a curto prazo SSP2-4.5 do IPCC AR6 (aproximadamente 3–4 mm/ano no período 2020–2030); a tendência de Sines (+5,06 mm/ano) situa-se algo acima deste intervalo, mas permanece direcionalmente consistente com o padrão de aceleração da subida do nível do mar documentado na síntese do IPCC AR6. Em conjunto, as duas estações suportam a utilização dos cenários selecionados como um quadro de planeamento plausível. A análise foi deliberadamente enquadrada como uma verificação de consistência e não como um exercício de calibração ou validação: o curto registo observacional em relação ao horizonte de planeamento dos cenários, e a influência inerente da variabilidade meteorológica local nos registos dos marémetros, impedem a inferência causal robusta a partir desta comparação.</w:t>
      </w:r>
    </w:p>
    <w:p>
      <w:pPr>
        <w:pStyle w:val="Heading3"/>
        <w:spacing w:after="120" w:before="240" w:line="360"/>
      </w:pPr>
      <w:r>
        <w:rPr>
          <w:rFonts w:ascii="Times New Roman" w:cs="Times New Roman" w:eastAsia="Times New Roman" w:hAnsi="Times New Roman"/>
          <w:b/>
          <w:bCs/>
          <w:sz w:val="24"/>
          <w:szCs w:val="24"/>
        </w:rPr>
        <w:t xml:space="preserve">6.2.4  Portefólio de Investimento em Adaptação</w:t>
      </w:r>
    </w:p>
    <w:p>
      <w:pPr>
        <w:spacing w:after="160" w:before="0" w:line="360"/>
        <w:jc w:val="both"/>
      </w:pPr>
      <w:r>
        <w:rPr>
          <w:rFonts w:ascii="Times New Roman" w:cs="Times New Roman" w:eastAsia="Times New Roman" w:hAnsi="Times New Roman"/>
          <w:sz w:val="24"/>
          <w:szCs w:val="24"/>
        </w:rPr>
        <w:t xml:space="preserve">O Capítulo 5 avaliou três opções de adaptação em cada uma das oito secções e identificou um portefólio recomendado com base na relação custo-eficácia no âmbito de um quadro de ponto de equilíbrio baseado na poupança. As estimativas de custo evitado são contrafactuais derivados do modelo com base na eficácia assumida das medidas de adaptação; o mérito económico do portefólio deve ser entendido neste contexto. O portefólio recomendado tem um CAPEX total na estimativa central de </w:t>
      </w:r>
      <w:r>
        <w:rPr>
          <w:rFonts w:ascii="Times New Roman" w:cs="Times New Roman" w:eastAsia="Times New Roman" w:hAnsi="Times New Roman"/>
          <w:b/>
          <w:bCs/>
          <w:sz w:val="24"/>
          <w:szCs w:val="24"/>
        </w:rPr>
        <w:t xml:space="preserve">307 milhões de euros</w:t>
      </w:r>
      <w:r>
        <w:rPr>
          <w:rFonts w:ascii="Times New Roman" w:cs="Times New Roman" w:eastAsia="Times New Roman" w:hAnsi="Times New Roman"/>
          <w:sz w:val="24"/>
          <w:szCs w:val="24"/>
        </w:rPr>
        <w:t xml:space="preserve"> (mínimo: 219 milhões de euros; máximo: 402 milhões de euros), abrangendo intervenções estruturais direcionadas nas três secções ferroviárias e protocolos operacionais de baixo custo nas três secções portuárias e em ambas as secções rodoviárias. Face a um custo de disrupção sem adaptação de 130,1 mil milhões de euros, isto representa um rácio modelado de 424:1 entre o potencial de custo de disrupção evitado e o investimento em adaptação, no âmbito do estudo.</w:t>
      </w:r>
    </w:p>
    <w:p>
      <w:pPr>
        <w:spacing w:after="160" w:before="0" w:line="360"/>
        <w:jc w:val="both"/>
      </w:pPr>
      <w:r>
        <w:rPr>
          <w:rFonts w:ascii="Times New Roman" w:cs="Times New Roman" w:eastAsia="Times New Roman" w:hAnsi="Times New Roman"/>
          <w:sz w:val="24"/>
          <w:szCs w:val="24"/>
        </w:rPr>
        <w:t xml:space="preserve">Os anos de ponto de equilíbrio do portefólio variam entre 2029 (Ria de Aveiro, SSP5-8.5/+Geóide) e 2043 (Porto de Leixões, SSP5-8.5/Referência), confirmando que a adaptação economicamente eficaz está indicada para as oito secções dentro do horizonte de estudo no cenário central. A análise de sensibilidade ao VPL demonstrou que estes resultados não são materialmente sensíveis à escolha da taxa de desconto social entre 0% e 3%, com um desvio máximo de três anos no ano de ponto de equilíbrio à taxa de 3% (secção do Mondego). A variante de desvio do geóide antecipa os anos de ponto de equilíbrio em 4–8 anos em todas as secções, sugerindo que os anos de ponto de equilíbrio de referência do IPCC AR6 devem ser tratados como um limite superior conservador nas regiões onde a subsidência costeira é um fator material.</w:t>
      </w:r>
    </w:p>
    <w:p>
      <w:pPr>
        <w:pStyle w:val="Heading2"/>
        <w:spacing w:after="160" w:before="400" w:line="360"/>
      </w:pPr>
      <w:r>
        <w:rPr>
          <w:rFonts w:ascii="Times New Roman" w:cs="Times New Roman" w:eastAsia="Times New Roman" w:hAnsi="Times New Roman"/>
          <w:b/>
          <w:bCs/>
          <w:sz w:val="26"/>
          <w:szCs w:val="26"/>
        </w:rPr>
        <w:t xml:space="preserve">6.3  Contributos para o Conhecimento</w:t>
      </w:r>
    </w:p>
    <w:p>
      <w:pPr>
        <w:spacing w:after="160" w:before="0" w:line="360"/>
        <w:jc w:val="both"/>
      </w:pPr>
      <w:r>
        <w:rPr>
          <w:rFonts w:ascii="Times New Roman" w:cs="Times New Roman" w:eastAsia="Times New Roman" w:hAnsi="Times New Roman"/>
          <w:sz w:val="24"/>
          <w:szCs w:val="24"/>
        </w:rPr>
        <w:t xml:space="preserve">Esta dissertação apresenta quatro contributos principais para a literatura de avaliação do risco costeiro e de economia de infraestruturas.</w:t>
      </w:r>
    </w:p>
    <w:p>
      <w:pPr>
        <w:spacing w:after="160" w:before="0" w:line="360"/>
        <w:jc w:val="both"/>
      </w:pPr>
      <w:r>
        <w:rPr>
          <w:rFonts w:ascii="Times New Roman" w:cs="Times New Roman" w:eastAsia="Times New Roman" w:hAnsi="Times New Roman"/>
          <w:sz w:val="24"/>
          <w:szCs w:val="24"/>
        </w:rPr>
        <w:t xml:space="preserve">Em primeiro lugar, apresenta, tanto quanto é do conhecimento do autor, a primeira avaliação de impacto económico multipilar abrangente da subida do nível do mar sobre as infraestruturas costeiras portuguesas, integrando a modelação de inundação física, a estimação do custo de substituição de ativos, a tipologia de risco por aprendizagem automática e um quadro de investimento em adaptação baseado na poupança num único pipeline analítico consistente. Os estudos portugueses anteriores sobre SNM (e.g. Ferreira et al., 2006; Coelho et al., 2009; Antunes, 2019) tenderam a centrar-se na exposição física ou na exposição económica à escala nacional, sem estabelecer a ligação ao nível do custo de disrupção de infraestruturas ou à avaliação do investimento em adaptação. O quadro de três pilares aqui desenvolvido fornece um modelo replicável para avaliações semelhantes noutras pequenas economias abertas com exposição significativa de infraestruturas costeiras.</w:t>
      </w:r>
    </w:p>
    <w:p>
      <w:pPr>
        <w:spacing w:after="160" w:before="0" w:line="360"/>
        <w:jc w:val="both"/>
      </w:pPr>
      <w:r>
        <w:rPr>
          <w:rFonts w:ascii="Times New Roman" w:cs="Times New Roman" w:eastAsia="Times New Roman" w:hAnsi="Times New Roman"/>
          <w:sz w:val="24"/>
          <w:szCs w:val="24"/>
        </w:rPr>
        <w:t xml:space="preserve">Em segundo lugar, o estudo operacionaliza os resultados de Seeger &amp; Minderhoud (2026) como uma camada de sensibilidade ao geóide/referência de altitude num quadro de risco de infraestruturas à escala nacional para a SNM, sem tratar este como uma correção causal confirmada de subsidência. A variante +Geóide — que adiciona um desvio conservador de +0,15 m às projeções do IPCC AR6 — altera materialmente o calendário e a gravidade do risco para várias secções e deve ser considerada uma camada de sensibilidade padrão em futuras avaliações de infraestruturas costeiras em regiões onde o movimento vertical do terreno é incerto ou provavelmente negativo. O tratamento sistemático do desvio do geóide como uma variante do modelo com denominação própria, em vez de um ajustamento ad hoc, é um contributo metodológico que torna a incerteza transparente e os resultados de sensibilidade diretamente interpretáveis.</w:t>
      </w:r>
    </w:p>
    <w:p>
      <w:pPr>
        <w:spacing w:after="160" w:before="0" w:line="360"/>
        <w:jc w:val="both"/>
      </w:pPr>
      <w:r>
        <w:rPr>
          <w:rFonts w:ascii="Times New Roman" w:cs="Times New Roman" w:eastAsia="Times New Roman" w:hAnsi="Times New Roman"/>
          <w:sz w:val="24"/>
          <w:szCs w:val="24"/>
        </w:rPr>
        <w:t xml:space="preserve">Em terceiro lugar, a aplicação do agrupamento K-Means com uma pré-transformação log1p para caracterizar as tipologias de risco das regiões NUTS3 costeiras constitui um contributo metodológico na interseção da ciência de dados espaciais e da economia costeira. A estrutura do agrupamento, suportada pela análise de silhueta e explicada por combinações de variáveis interpretáveis, fornece uma base orientada por dados para priorizar os recursos de adaptação nas unidades administrativas regionais. O protocolo de transformação log1p aborda um desafio comum, mas subvalorizado, no agrupamento de dados socioeconómicos e ambientais fortemente enviesados, e a abordagem é facilmente transferível para outros exercícios de classificação regional do risco.</w:t>
      </w:r>
    </w:p>
    <w:p>
      <w:pPr>
        <w:spacing w:after="160" w:before="0" w:line="360"/>
        <w:jc w:val="both"/>
      </w:pPr>
      <w:r>
        <w:rPr>
          <w:rFonts w:ascii="Times New Roman" w:cs="Times New Roman" w:eastAsia="Times New Roman" w:hAnsi="Times New Roman"/>
          <w:sz w:val="24"/>
          <w:szCs w:val="24"/>
        </w:rPr>
        <w:t xml:space="preserve">Em quarto lugar, o modelo de custo de disrupção por cheia composta adapta a literatura académica sobre o escalonamento da frequência de cheias compostas (Moftakhari et al., 2017; Zscheischler et al., 2020) a um contexto de custo de disrupção de infraestruturas, produzindo perfis de custo anual adequados para a análise do ponto de equilíbrio sem exigir simulação hidrodinâmica dinâmica. A transparência do modelo e a sua simplicidade paramétrica tornam-no aplicável por gestores de ativos de infraestrutura que necessitem de projeções de custo diferenciadas por cenário mas não disponham de recursos de modelação computacional de cheias. A documentação explícita de todos os parâmetros do modelo e das respetivas fontes de derivação permite a análise direta e a reprodutibilidade.</w:t>
      </w:r>
    </w:p>
    <w:p>
      <w:pPr>
        <w:pStyle w:val="Heading2"/>
        <w:spacing w:after="160" w:before="400" w:line="360"/>
      </w:pPr>
      <w:r>
        <w:rPr>
          <w:rFonts w:ascii="Times New Roman" w:cs="Times New Roman" w:eastAsia="Times New Roman" w:hAnsi="Times New Roman"/>
          <w:b/>
          <w:bCs/>
          <w:sz w:val="26"/>
          <w:szCs w:val="26"/>
        </w:rPr>
        <w:t xml:space="preserve">6.4  Limitações</w:t>
      </w:r>
    </w:p>
    <w:p>
      <w:pPr>
        <w:spacing w:after="160" w:before="0" w:line="360"/>
        <w:jc w:val="both"/>
      </w:pPr>
      <w:r>
        <w:rPr>
          <w:rFonts w:ascii="Times New Roman" w:cs="Times New Roman" w:eastAsia="Times New Roman" w:hAnsi="Times New Roman"/>
          <w:sz w:val="24"/>
          <w:szCs w:val="24"/>
        </w:rPr>
        <w:t xml:space="preserve">O estudo apresenta várias limitações importantes que condicionam a interpretação dos seus resultados.</w:t>
      </w:r>
    </w:p>
    <w:p>
      <w:pPr>
        <w:spacing w:after="160" w:before="0" w:line="360"/>
        <w:jc w:val="both"/>
      </w:pPr>
      <w:r>
        <w:t>A limitação metodológica mais significativa é a utilização de um modelo de inundação estática do tipo banheira para a análise da exposição nos Pilares 1 e 2. A abordagem de banheira assume que toda a superfície abaixo de um dado limiar de altitude fica inundada, sem representar processos costeiros dinâmicos como o espraiamento de ondas e a sobrelevação meteorológica, as defesas contra cheias construídas, ou as infraestruturas de drenagem. Esta abordagem pode sobreestimar a área inundada em secções onde as defesas construídas impediriam a inundação total, e pode subestimá-la onde o pressuposto de conectividade do modelo de banheira falha para depressões hidraulicamente ligadas mas topograficamente descontínuas. Ao longo deste estudo, as saídas de inundação são, por conseguinte, identificadas como “potencial de inundação estática” em vez de “extensão da inundação”, para refletir esta limitação.</w:t>
      </w:r>
    </w:p>
    <w:p>
      <w:pPr>
        <w:spacing w:after="160" w:before="0" w:line="360"/>
        <w:jc w:val="both"/>
      </w:pPr>
      <w:r>
        <w:t>O parâmetro de aceleração exponencial (k) do modelo de cheia composta é um pressuposto de modelação e não um valor empiricamente calibrado. O valor predefinido k = ln(2)/0,10 ≈ 6,93 m⁻¹ implica que os períodos de retorno das cheias diminuem para metade por cada 0,10 m adicional de SNM, em consonância com o intervalo empírico reportado por Moftakhari et al. (2017), e não calibrado a partir de registos de marémetros ou de sobrelevação meteorológica portugueses. Uma análise de sensibilidade paramétrica apresentada no Quadro 3.2 (Capítulo 3) demonstra que o custo agregado de disrupção do Pilar 3 no cenário SSP5-8.5/Referência é sensível a k: variar k de aproximadamente 5 m⁻¹ (k₁) a aproximadamente 10 m⁻¹ (k₃) produz estimativas agregadas que variam entre aproximadamente 40 mil milhões de euros e mais de 500 mil milhões de euros, com a estimativa central de 130,1 mil milhões de euros a k₂ = 6,93 m⁻¹ consistente com o intervalo empírico de Moftakhari et al. (2017). A ampla gama absoluta reflete o comportamento de limiar do teto operacional de 365 dias nos cenários de emissões elevadas: as secções que se aproximam do teto com k₂ fazem-no substancialmente mais cedo com k₃, acumulando décadas adicionais de custos ao nível do teto. A magnitude absoluta das estimativas de custo de disrupção deve, portanto, ser entendida como dependente de k. Fundamentalmente, contudo, os testes de sensibilidade preliminares indicam que a classificação relativa das secções e o mérito económico da adaptação permanecem estáveis ao longo do intervalo de k considerado: todas as oito secções permanecem economicamente eficazes nas três variantes de k à taxa de desconto central, e a identificação de Aveiro, Lisboa e Setúbal como locais de risco prioritário não é sensível à escolha de k. A calibração de k específica por secção a partir de registos hidrológicos portugueses é identificada como a extensão metodológica de maior prioridade na Secção 6.6.</w:t>
      </w:r>
    </w:p>
    <w:p>
      <w:pPr>
        <w:spacing w:after="160" w:before="0" w:line="360"/>
        <w:jc w:val="both"/>
      </w:pPr>
      <w:r>
        <w:t>Mecanismo fluvio-mareal do Mondego. Uma limitação mais específica e relacionada aplica-se à secção ferroviária do Mondego (Alfarelos–Formoselha). Esta secção é inundada através de um mecanismo de cheia fluvio-mareal composta — impulsionada principalmente pelo caudal do Rio Mondego condicionado pela remanso de maré junto à foz — e não por inundação costeira ou estuarina direta. O período de retorno de base (PR₀ = 4 anos) é calibrado empiricamente a partir de encerramentos históricos observados, e não derivado de um limiar de elevação física. O parâmetro de sensibilidade de frequência de cheia k é aplicado como proxy de primeira ordem para o agravamento progressivo do efeito de remanso de maré sob a subida do nível do mar, o que é fisicamente justificado, mas analiticamente distinto do mecanismo de limiar de elevação utilizado para todas as outras secções. Um tratamento rigoroso da secção do Mondego exigiria um modelo fluvio-mareal específico do local, integrando a climatologia do caudal do Rio Mondego, a hidrodinâmica do estuário e o forçamento projetado do nível do mar — uma abrangência que excede o âmbito do presente estudo. A calibração empírica a partir de eventos observados fornece uma estimativa de primeira ordem defensável, mas as projeções de frequência de cheia composta para esta secção comportam uma incerteza maior do que as das secções costeiras e estuarinas, onde o mecanismo de cheia física está mais diretamente associado à subida do nível do mar.</w:t>
      </w:r>
    </w:p>
    <w:p>
      <w:pPr>
        <w:spacing w:after="160" w:before="0" w:line="360"/>
        <w:jc w:val="both"/>
      </w:pPr>
      <w:r>
        <w:rPr>
          <w:rFonts w:ascii="Times New Roman" w:cs="Times New Roman" w:eastAsia="Times New Roman" w:hAnsi="Times New Roman"/>
          <w:sz w:val="24"/>
          <w:szCs w:val="24"/>
        </w:rPr>
        <w:t xml:space="preserve">Os valores de CAPEX de adaptação utilizados no Capítulo 5 são estimativas indicativas com fundamentação de engenharia, e não avaliações detalhadas de custo de projeto. São extraídos de estudos publicados sobre custos de proteção costeira e de projetos análogos de reforço de infraestruturas portuguesas, mas não foram validados por estudos de viabilidade de engenharia para os locais e condições específicos aqui considerados. Os pressupostos de eficácia da adaptação — as opções estruturais eliminam a disrupção até ao seu limiar de projeto ser excedido; as opções operacionais reduzem a disrupção em 40–60% — são regras analíticas, e não efeitos causais empiricamente calibrados. As estimativas de custo evitado no Capítulo 5 são, portanto, contrafactuais derivados do modelo, e os anos de ponto de equilíbrio devem ser interpretados como resultados indicativos de planeamento. A implementação no mundo real exigiria uma avaliação de engenharia específica ao local, o envolvimento de múltiplas partes interessadas e calendários de construção que este estudo não modela.</w:t>
      </w:r>
    </w:p>
    <w:p>
      <w:pPr>
        <w:spacing w:after="160" w:before="0" w:line="360"/>
        <w:jc w:val="both"/>
      </w:pPr>
      <w:r>
        <w:rPr>
          <w:rFonts w:ascii="Times New Roman" w:cs="Times New Roman" w:eastAsia="Times New Roman" w:hAnsi="Times New Roman"/>
          <w:sz w:val="24"/>
          <w:szCs w:val="24"/>
        </w:rPr>
        <w:t xml:space="preserve">As estimativas de exposição do PIB no Pilar 1 utilizam dados de PIB ao nível NUTS3 distribuídos uniformemente pela área inundada em cada região, sem ponderação populacional nem mapeamento de densidade económica específico por uso do solo. Isto provavelmente subestima materialmente a exposição nos municípios costeiros economicamente densos e sobrestima-a nas zonas costeiras rurais de baixa densidade dentro dos mesmos limites NUTS3. Uma abordagem mais granular, utilizando grelhas populacionais GHSL ou microdados do Recenseamento português de 2021 com mapas nacionais de uso do solo para ponderar o PIB espacialmente dentro das unidades NUTS3, melhoraria a precisão das estimativas do Pilar 1 e é identificada como uma prioridade para trabalho futuro na Secção 6.6.</w:t>
      </w:r>
    </w:p>
    <w:p>
      <w:pPr>
        <w:spacing w:after="160" w:before="0" w:line="360"/>
        <w:jc w:val="both"/>
      </w:pPr>
      <w:r>
        <w:rPr>
          <w:rFonts w:ascii="Times New Roman" w:cs="Times New Roman" w:eastAsia="Times New Roman" w:hAnsi="Times New Roman"/>
          <w:sz w:val="24"/>
          <w:szCs w:val="24"/>
        </w:rPr>
        <w:t xml:space="preserve">Por fim, o estudo quantifica apenas os custos de disrupção operacional direta capturados no âmbito do modelo de cheia composta e das TDD: encerramentos de via, períodos de inatividade portuária e indisponibilidade rodoviária. Não quantifica os custos indiretos ou de segunda ordem, tais como a disrupção na cadeia de abastecimento que se propaga através de ligações input-output, os efeitos no mercado de trabalho da perda de rotas de pendulares, os custos de transferência modal ou as consequências sociais de encerramentos portuários de várias semanas. Estes custos de segunda ordem podem ser materiais — em particular para o Porto de Lisboa e a secção ferroviária da planície aluvial do Tejo, onde os efeitos de rede da disrupção se estendem muito além do evento de encerramento imediato — e a sua omissão significa que a estimativa de disrupção direta de 130,1 mil milhões de euros provavelmente subestima o custo económico total da inação; não deve ser interpretada como uma medida abrangente da consequência da inação à escala da economia no âmbito deste estudo.</w:t>
      </w:r>
    </w:p>
    <w:p>
      <w:pPr>
        <w:pStyle w:val="Heading2"/>
        <w:spacing w:after="160" w:before="400" w:line="360"/>
      </w:pPr>
      <w:r>
        <w:rPr>
          <w:rFonts w:ascii="Times New Roman" w:cs="Times New Roman" w:eastAsia="Times New Roman" w:hAnsi="Times New Roman"/>
          <w:b/>
          <w:bCs/>
          <w:sz w:val="26"/>
          <w:szCs w:val="26"/>
        </w:rPr>
        <w:t xml:space="preserve">6.5  Implicações para as Políticas Públicas</w:t>
      </w:r>
    </w:p>
    <w:p>
      <w:pPr>
        <w:spacing w:after="160" w:before="0" w:line="360"/>
        <w:jc w:val="both"/>
      </w:pPr>
      <w:r>
        <w:rPr>
          <w:rFonts w:ascii="Times New Roman" w:cs="Times New Roman" w:eastAsia="Times New Roman" w:hAnsi="Times New Roman"/>
          <w:sz w:val="24"/>
          <w:szCs w:val="24"/>
        </w:rPr>
        <w:t xml:space="preserve">Os resultados desta dissertação têm várias implicações concretas para o planeamento de infraestruturas e a governação da adaptação costeira em Portugal.</w:t>
      </w:r>
    </w:p>
    <w:p>
      <w:pPr>
        <w:spacing w:after="160" w:before="0" w:line="360"/>
        <w:jc w:val="both"/>
      </w:pPr>
      <w:r>
        <w:rPr>
          <w:rFonts w:ascii="Times New Roman" w:cs="Times New Roman" w:eastAsia="Times New Roman" w:hAnsi="Times New Roman"/>
          <w:sz w:val="24"/>
          <w:szCs w:val="24"/>
        </w:rPr>
        <w:t xml:space="preserve">A implicação mais urgente em termos de tempo diz respeito à secção da Ria de Aveiro. Na trajetória ajustada ao geóide, o ano de ponto de equilíbrio para a elevação da via (CAPEX central de 80 milhões de euros) é 2029 — apenas quatro anos após a data de referência do investimento — e a Zona B enfrenta o risco de ruptura permanente da barreira já entre 2035 e 2040. A Infraestruturas de Portugal (IP) e a ANPC devem tratar a secção de Aveiro como uma prioridade de resiliência de infraestruturas a curto prazo e iniciar processos de viabilidade de engenharia e de avaliação de impacto ambiental. A natureza binária do limiar de ruptura da barreira cria uma assimetria do valor de opção: adiar a ação até que a ruptura seja confirmada aumenta substancialmente o custo das opções estruturais restantes e elimina a intervenção de menor CAPEX (elevação da via), que exige acesso anterior à ruptura.</w:t>
      </w:r>
    </w:p>
    <w:p>
      <w:pPr>
        <w:spacing w:after="160" w:before="0" w:line="360"/>
        <w:jc w:val="both"/>
      </w:pPr>
      <w:r>
        <w:rPr>
          <w:rFonts w:ascii="Times New Roman" w:cs="Times New Roman" w:eastAsia="Times New Roman" w:hAnsi="Times New Roman"/>
          <w:sz w:val="24"/>
          <w:szCs w:val="24"/>
        </w:rPr>
        <w:t xml:space="preserve">Para as três secções portuárias, a conclusão de que os protocolos operacionais de baixo custo dominam as opções estruturais a curto prazo tem uma implicação institucional direta: o primeiro investimento adequado não é a aquisição de engenharia, mas sim o desenho de protocolos e a coordenação entre partes interessadas. A Administração do Porto de Lisboa (APL), a APDL e a Administração dos Portos de Setúbal e Sesimbra (APSS) devem cada uma iniciar o desenho de protocolos de contingência pré-posicionados, acordos de desvio de carga para portos alternativos (principalmente Sines) e sistemas de alerta mareal em tempo real. Estes investimentos, que totalizam 43 milhões de euros nas três secções portuárias na estimativa central, exigem essencialmente recursos institucionais e não de engenharia, e podem ser iniciados dentro dos ciclos normais de planeamento. Os investimentos estruturais portuários devem ser agendados para revisão em intervalos de 10 anos à medida que as projeções de SNM são atualizadas.</w:t>
      </w:r>
    </w:p>
    <w:p>
      <w:pPr>
        <w:spacing w:after="160" w:before="0" w:line="360"/>
        <w:jc w:val="both"/>
      </w:pPr>
      <w:r>
        <w:rPr>
          <w:rFonts w:ascii="Times New Roman" w:cs="Times New Roman" w:eastAsia="Times New Roman" w:hAnsi="Times New Roman"/>
          <w:sz w:val="24"/>
          <w:szCs w:val="24"/>
        </w:rPr>
        <w:t xml:space="preserve">A oportunidade de investimento partilhado no estuário do Tejo justifica um estudo de viabilidade dedicado com múltiplas partes interessadas. A exposição combinada sem adaptação da secção ferroviária do Tejo (13,4 mil milhões de euros) e do Porto de Lisboa (27,3 mil milhões de euros) totaliza 40,7 mil milhões de euros, representando o maior conjunto individual de benefícios combinados no portefólio. Uma barreira contra cheias à escala do estuário, concebida conjuntamente pela IP, APL, ANPC, APA e pela autoridade metropolitana de Lisboa, poderia responder a ambas as exposições com um CAPEX combinado potencialmente inferior à soma das medidas individuais recomendadas. As partes interessadas relevantes devem encomendar um estudo de viabilidade técnica e económica conjunto de forma prioritária.</w:t>
      </w:r>
    </w:p>
    <w:p>
      <w:pPr>
        <w:spacing w:after="160" w:before="0" w:line="360"/>
        <w:jc w:val="both"/>
      </w:pPr>
      <w:r>
        <w:rPr>
          <w:rFonts w:ascii="Times New Roman" w:cs="Times New Roman" w:eastAsia="Times New Roman" w:hAnsi="Times New Roman"/>
          <w:sz w:val="24"/>
          <w:szCs w:val="24"/>
        </w:rPr>
        <w:t xml:space="preserve">De forma mais ampla, a dissertação realça a necessidade de incorporar o planeamento de cenários de SNM do IPCC AR6 na governação do investimento em infraestruturas portuguesas. O atual quadro nacional de planeamento de infraestruturas (Plano Nacional de Investimentos 2030) não incorpora explicitamente cenários de SNM como norma de conceção para infraestruturas costeiras. Dado que as oito secções analisadas são ativos nacionais existentes com vidas úteis de projeto que se estendem até 2050 e além, os seus ciclos de reabilitação e manutenção devem incorporar a resiliência à SNM como critério de conceção de base. Os processos de Avaliação de Impacto Ambiental e de Avaliação Ambiental Estratégica devem exigir uma análise de sensibilidade explícita à SNM para qualquer projeto de infraestrutura costeira com uma vida útil de projeto de 30 anos ou mais.</w:t>
      </w:r>
    </w:p>
    <w:p>
      <w:pPr>
        <w:pStyle w:val="Heading2"/>
        <w:spacing w:after="160" w:before="400" w:line="360"/>
      </w:pPr>
      <w:r>
        <w:rPr>
          <w:rFonts w:ascii="Times New Roman" w:cs="Times New Roman" w:eastAsia="Times New Roman" w:hAnsi="Times New Roman"/>
          <w:b/>
          <w:bCs/>
          <w:sz w:val="26"/>
          <w:szCs w:val="26"/>
        </w:rPr>
        <w:t xml:space="preserve">6.6  Orientações para Investigação Futura</w:t>
      </w:r>
    </w:p>
    <w:p>
      <w:pPr>
        <w:spacing w:after="160" w:before="0" w:line="360"/>
        <w:jc w:val="both"/>
      </w:pPr>
      <w:r>
        <w:rPr>
          <w:rFonts w:ascii="Times New Roman" w:cs="Times New Roman" w:eastAsia="Times New Roman" w:hAnsi="Times New Roman"/>
          <w:sz w:val="24"/>
          <w:szCs w:val="24"/>
        </w:rPr>
        <w:t xml:space="preserve">Várias orientações para investigação futura decorrem naturalmente das limitações identificadas na Secção 6.4.</w:t>
      </w:r>
    </w:p>
    <w:p>
      <w:pPr>
        <w:spacing w:after="160" w:before="0" w:line="360"/>
        <w:jc w:val="both"/>
      </w:pPr>
      <w:r>
        <w:t>A atualização metodológica mais consequente seria a substituição do modelo de inundação estático de banheira por um modelo dinâmico de inundação costeira, como o Delft3D-FM ou o LISFLOOD-FP, calibrado com registos de marémetros portugueses e a climatologia da sobrelevação meteorológica. Um modelo dinâmico incorporaria o espraiamento de ondas, os efeitos das barreiras e da drenagem, e as alterações geomorfológicas costeiras, produzindo extensões de inundação mais fisicamente realistas, diretamente comparáveis com eventos de cheia observados nos oito locais de secção. A aplicação focada da modelação dinâmica à escala da secção — em vez de à escala nacional — limitaria o custo computacional ao mesmo tempo que melhoraria substancialmente o realismo físico dos dados de inundação para o modelo de custo de disrupção.</w:t>
      </w:r>
    </w:p>
    <w:p>
      <w:pPr>
        <w:spacing w:after="160" w:before="0" w:line="360"/>
        <w:jc w:val="both"/>
      </w:pPr>
      <w:r>
        <w:rPr>
          <w:rFonts w:ascii="Times New Roman" w:cs="Times New Roman" w:eastAsia="Times New Roman" w:hAnsi="Times New Roman"/>
          <w:sz w:val="24"/>
          <w:szCs w:val="24"/>
        </w:rPr>
        <w:t xml:space="preserve">Uma segunda extensão importante seria a calibração empírica do parâmetro de aceleração (k) do modelo de cheia composta utilizando registos de marémetros portugueses e dados históricos de eventos de cheia. Uma análise estatística da relação entre os incrementos de SNM observados e as alterações na frequência de eventos de cheia nos oito locais de secção produziria estimativas de k específicas ao local, que substituiriam o valor predefinido teórico atual. A rede de marémetros portuguesa, com estações de registo histórico extenso em Cascais, Lagos e Viana do Castelo, fornece uma base para esta calibração, embora a extensão do registo possa limitar o poder estatístico para as estimativas dos períodos de retorno mais extremos. Uma análise de sensibilidade paramétrica ao longo de um conjunto de valores plausíveis de k caracterizaria, entretanto, a incerteza da estimativa de custo do modelo de forma mais transparente.</w:t>
      </w:r>
    </w:p>
    <w:p>
      <w:pPr>
        <w:spacing w:after="160" w:before="0" w:line="360"/>
        <w:jc w:val="both"/>
      </w:pPr>
      <w:r>
        <w:rPr>
          <w:rFonts w:ascii="Times New Roman" w:cs="Times New Roman" w:eastAsia="Times New Roman" w:hAnsi="Times New Roman"/>
          <w:sz w:val="24"/>
          <w:szCs w:val="24"/>
        </w:rPr>
        <w:t xml:space="preserve">Em terceiro lugar, as estimativas de CAPEX de adaptação devem ser aperfeiçoadas através de estudos de pré-viabilidade de engenharia específicos ao local para as secções de maior prioridade. Para a secção da Ria de Aveiro, a urgência do compromisso estrutural precoce justifica a encomenda de uma avaliação de engenharia costeira dedicada às opções de elevação da via e de reforço da barreira, incorporando dados detalhados de levantamento topográfico e batimétrico, a avaliação do estado estrutural da infraestrutura ferroviária existente e uma análise de logística de construção que tenha em conta as condicionantes operacionais de manter o serviço ferroviário durante a construção.</w:t>
      </w:r>
    </w:p>
    <w:p>
      <w:pPr>
        <w:spacing w:after="160" w:before="0" w:line="360"/>
        <w:jc w:val="both"/>
      </w:pPr>
      <w:r>
        <w:rPr>
          <w:rFonts w:ascii="Times New Roman" w:cs="Times New Roman" w:eastAsia="Times New Roman" w:hAnsi="Times New Roman"/>
          <w:sz w:val="24"/>
          <w:szCs w:val="24"/>
        </w:rPr>
        <w:t xml:space="preserve">Em quarto lugar, a análise de exposição do PIB no Pilar 1 deve ser alargada utilizando dados económicos espacialmente desagregados. A integração de grelhas populacionais GHSL ou de microdados do Recenseamento português de 2021 com mapas nacionais de uso do solo permitiria alocar o PIB a células costeiras com uma resolução infra-NUTS3, melhorando substancialmente a precisão das estimativas de exposição e possibilitando a comparação direta com as estimativas de custo de disrupção ao nível da secção no Pilar 3.</w:t>
      </w:r>
    </w:p>
    <w:p>
      <w:pPr>
        <w:spacing w:after="160" w:before="0" w:line="360"/>
        <w:jc w:val="both"/>
      </w:pPr>
      <w:r>
        <w:rPr>
          <w:rFonts w:ascii="Times New Roman" w:cs="Times New Roman" w:eastAsia="Times New Roman" w:hAnsi="Times New Roman"/>
          <w:sz w:val="24"/>
          <w:szCs w:val="24"/>
        </w:rPr>
        <w:t xml:space="preserve">Em quinto lugar, uma extensão input-output ou de Matriz de Contabilidade Social do quadro de custo de disrupção permitiria quantificar os efeitos indiretos no PIB dos períodos de inatividade portuária e do encerramento ferroviário, incluindo cascatas na cadeia de abastecimento, perdas de produção em indústrias dependentes dos portos como o fabrico automóvel na Volkswagen Palmela, e os custos de transferência modal. Esta extensão produziria estimativas de custo mais diretamente comparáveis com os métodos de avaliação de projetos utilizados na avaliação do investimento público português (ANSR, 2021) e enriqueceria substancialmente o argumento económico para a adaptação apresentado no Capítulo 5.</w:t>
      </w:r>
    </w:p>
    <w:p>
      <w:pPr>
        <w:spacing w:after="160" w:before="0" w:line="360"/>
        <w:jc w:val="both"/>
      </w:pPr>
      <w:r>
        <w:rPr>
          <w:rFonts w:ascii="Times New Roman" w:cs="Times New Roman" w:eastAsia="Times New Roman" w:hAnsi="Times New Roman"/>
          <w:sz w:val="24"/>
          <w:szCs w:val="24"/>
        </w:rPr>
        <w:t xml:space="preserve">Por fim, o horizonte de estudo poderia ser alargado para além de 2100 para contemplar os cenários de risco extremo associados à instabilidade das calotes de gelo que não estão totalmente representados no intervalo provável do IPCC AR6. Em cenários de SNM de limite superior — como o intervalo de baixa confiança do IPCC AR6 de 1,5–2,5 m até 2100 — as secções que mostram perfis de disrupção geríveis dentro do horizonte atual podem enfrentar níveis de risco qualitativamente diferentes. Um tratamento Monte Carlo dos cenários de instabilidade das calotes de gelo permitiria avaliar o valor esperado da adaptação sob incerteza profunda, fornecendo uma visão mais completa do argumento de investimento a longo prazo.</w:t>
      </w:r>
    </w:p>
    <w:p>
      <w:pPr>
        <w:pStyle w:val="Heading2"/>
        <w:spacing w:after="160" w:before="400" w:line="360"/>
      </w:pPr>
      <w:r>
        <w:rPr>
          <w:rFonts w:ascii="Times New Roman" w:cs="Times New Roman" w:eastAsia="Times New Roman" w:hAnsi="Times New Roman"/>
          <w:b/>
          <w:bCs/>
          <w:sz w:val="26"/>
          <w:szCs w:val="26"/>
        </w:rPr>
        <w:t xml:space="preserve">6.7  Conclusões</w:t>
      </w:r>
    </w:p>
    <w:p>
      <w:pPr>
        <w:spacing w:after="160" w:before="0" w:line="360"/>
        <w:jc w:val="both"/>
      </w:pPr>
      <w:r>
        <w:rPr>
          <w:rFonts w:ascii="Times New Roman" w:cs="Times New Roman" w:eastAsia="Times New Roman" w:hAnsi="Times New Roman"/>
          <w:sz w:val="24"/>
          <w:szCs w:val="24"/>
        </w:rPr>
        <w:t xml:space="preserve">Esta dissertação demonstrou que a subida do nível do mar representa uma ameaça económica material e quantificável para a rede de infraestruturas costeiras de Portugal em todos os três cenários do IPCC AR6 considerados. Utilizando um quadro analítico de três pilares — mapeamento de inundação estática, estimação do custo de substituição de ativos e modelação do custo de disrupção por cheia composta — o estudo produziu um conjunto abrangente de estimativas quantitativas da exposição do PIB, do risco das infraestruturas físicas e dos custos de disrupção económica associados à SNM ao longo do horizonte 2025–2100.</w:t>
      </w:r>
    </w:p>
    <w:p>
      <w:pPr>
        <w:spacing w:after="160" w:before="0" w:line="360"/>
        <w:jc w:val="both"/>
      </w:pPr>
      <w:r>
        <w:rPr>
          <w:rFonts w:ascii="Times New Roman" w:cs="Times New Roman" w:eastAsia="Times New Roman" w:hAnsi="Times New Roman"/>
          <w:sz w:val="24"/>
          <w:szCs w:val="24"/>
        </w:rPr>
        <w:t xml:space="preserve">As principais conclusões quantitativas são três. Em primeiro lugar, aproximadamente 5,30 mil milhões de euros de PIB em 12 regiões NUTS3 costeiras estão expostos à inundação por SNM nas condições SSP5-8.5/Referência até 2100, subindo para 6,35 mil milhões de euros na variante de sensibilidade ajustada ao geóide. Em segundo lugar, o custo acumulado de disrupção sem adaptação modelado nas oito secções de infraestrutura crítica totaliza 130,1 mil milhões de euros no cenário SSP5-8.5/Referência/médio ao longo do horizonte de estudo — um valor dominado pela secção ferroviária da Ria de Aveiro (30,0 mil milhões de euros), pelo Porto de Lisboa (27,3 mil milhões de euros) e pelo Porto de Setúbal (17,7 mil milhões de euros). Em terceiro lugar, um portefólio de adaptação recomendado com um CAPEX de estimativa central de 307 milhões de euros está indicado como economicamente eficaz em todas as oito secções dentro do horizonte de estudo, com anos de ponto de equilíbrio que variam entre 2029 e 2043 no cenário central.</w:t>
      </w:r>
    </w:p>
    <w:p>
      <w:pPr>
        <w:spacing w:after="160" w:before="0" w:line="360"/>
        <w:jc w:val="both"/>
      </w:pPr>
      <w:r>
        <w:rPr>
          <w:rFonts w:ascii="Times New Roman" w:cs="Times New Roman" w:eastAsia="Times New Roman" w:hAnsi="Times New Roman"/>
          <w:sz w:val="24"/>
          <w:szCs w:val="24"/>
        </w:rPr>
        <w:t xml:space="preserve">Dois insights estruturais emergem dos resultados desagregados do Pilar 3 que não são visíveis apenas a partir do valor agregado. Em primeiro lugar, o risco de disrupção das infraestruturas é impulsionado mais por estrangulamentos da rede do que pela exposição total: as três secções de maior custo (Ria de Aveiro, Porto de Lisboa, Porto de Setúbal) representam aproximadamente 57% do custo acumulado de disrupção, apesar de constituírem apenas três das oito secções. Esta concentração reflete a interação composta entre a baixa altitude da secção, a elevada frequência de cheias de referência e o elevado valor diário de processamento — um perfil que não está uniformemente distribuído pela rede. Em segundo lugar, os custos de disrupção são não lineares no tempo: no cenário SSP5-8.5, a acumulação de custos é desfasada no tempo, com uma quota desproporcionada do custo total a acumular-se após 2075, quando a SNM começa a intersetar os limiares de altitude críticos das secções de maior altitude. Esta não linearidade tem implicações diretas para o calendário da adaptação: as secções que parecem geríveis nas avaliações de custo a curto prazo podem cruzar rapidamente limiares de irreversibilidade, estreitando a janela para a intervenção estrutural economicamente eficaz.</w:t>
      </w:r>
    </w:p>
    <w:p>
      <w:pPr>
        <w:spacing w:after="160" w:before="0" w:line="360"/>
        <w:jc w:val="both"/>
      </w:pPr>
      <w:r>
        <w:rPr>
          <w:rFonts w:ascii="Times New Roman" w:cs="Times New Roman" w:eastAsia="Times New Roman" w:hAnsi="Times New Roman"/>
          <w:sz w:val="24"/>
          <w:szCs w:val="24"/>
        </w:rPr>
        <w:t xml:space="preserve">A conclusão transversal que emerge da análise da adaptação é a predominância das medidas operacionais de baixo CAPEX para as secções portuárias e rodoviárias. As três secções portuárias e ambas as secções rodoviárias são melhor servidas — no âmbito do quadro de disrupção evitada aqui utilizado — por investimentos em protocolos operacionais com custos entre 8 milhões e 17 milhões de euros, alcançando anos de ponto de equilíbrio comparáveis ou anteriores aos das opções estruturais a uma fração do seu custo. Esta conclusão tem relevância prática imediata: uma grande proporção do benefício económico do portefólio pode ser capturada através de investimentos institucionais e em protocolos que não exigem longos ciclos de aquisição de engenharia, podendo, portanto, ser iniciados sem aguardar estudos de viabilidade detalhados ou revisões do plano nacional de infraestruturas.</w:t>
      </w:r>
    </w:p>
    <w:p>
      <w:pPr>
        <w:spacing w:after="160" w:before="0" w:line="360"/>
        <w:jc w:val="both"/>
      </w:pPr>
      <w:r>
        <w:rPr>
          <w:rFonts w:ascii="Times New Roman" w:cs="Times New Roman" w:eastAsia="Times New Roman" w:hAnsi="Times New Roman"/>
          <w:sz w:val="24"/>
          <w:szCs w:val="24"/>
        </w:rPr>
        <w:t xml:space="preserve">A dissertação também realça a importância do desvio do geóide como sensibilidade de planeamento. O desvio de +0,15 m de Seeger &amp; Minderhoud (2026), embora conservador em relação à gama completa de estimativas nesse estudo, antecipa sistematicamente os anos de ponto de equilíbrio em 4–8 anos em todas as secções e, se confirmado por levantamentos geodésicos nacionais atualizados, aceleraria materialmente o calendário da adaptação indicada em todo o portefólio. Os gestores de infraestruturas e os reguladores devem tratar as projeções de referência de SNM do IPCC AR6 como um limite inferior para efeitos de planeamento da adaptação e incorporar cenários de sensibilidade ajustados ao geóide como prática padrão na avaliação de investimentos em infraestruturas a longo prazo.</w:t>
      </w:r>
    </w:p>
    <w:p>
      <w:pPr>
        <w:spacing w:after="160" w:before="0" w:line="360"/>
        <w:jc w:val="both"/>
      </w:pPr>
      <w:r>
        <w:rPr>
          <w:rFonts w:ascii="Times New Roman" w:cs="Times New Roman" w:eastAsia="Times New Roman" w:hAnsi="Times New Roman"/>
          <w:sz w:val="24"/>
          <w:szCs w:val="24"/>
        </w:rPr>
        <w:t xml:space="preserve">Em conjunto, os resultados desta dissertação sustentam uma conclusão clara de planeamento: a adaptação economicamente eficaz à subida do nível do mar parece estar disponível para as oito secções consideradas, a custos reduzidos em relação aos custos de disrupção modelados que se destinam a evitar. Esta conclusão mantém-se em todos os cenários do IPCC AR6 examinados e em toda a gama de taxas de desconto consideradas na avaliação padrão de projetos públicos da UE. A ação mais urgente a curto prazo é o arranque dos processos de planeamento da adaptação — em particular na secção da Ria de Aveiro, onde a janela para a intervenção estrutural economicamente eficaz é estreita, e no estuário do Tejo, onde uma oportunidade de investimento partilhado de escala significativa justifica uma avaliação coordenada com múltiplas partes interessadas.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2026-05-02T18:46:16.635Z</dcterms:created>
  <dcterms:modified xsi:type="dcterms:W3CDTF">2026-05-02T18:46:16.636Z</dcterms:modified>
</cp:coreProperties>
</file>

<file path=docProps/custom.xml><?xml version="1.0" encoding="utf-8"?>
<Properties xmlns="http://schemas.openxmlformats.org/officeDocument/2006/custom-properties" xmlns:vt="http://schemas.openxmlformats.org/officeDocument/2006/docPropsVTypes"/>
</file>