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0" w:line="360"/>
      </w:pPr>
      <w:r>
        <w:rPr>
          <w:rFonts w:ascii="Times New Roman" w:cs="Times New Roman" w:eastAsia="Times New Roman" w:hAnsi="Times New Roman"/>
          <w:b/>
          <w:bCs/>
          <w:sz w:val="32"/>
          <w:szCs w:val="32"/>
        </w:rPr>
        <w:t xml:space="preserve">Annex A: Analytical Pipeline Documentation</w:t>
      </w:r>
    </w:p>
    <w:p>
      <w:pPr>
        <w:spacing w:after="160" w:before="0" w:line="360"/>
        <w:jc w:val="both"/>
      </w:pPr>
      <w:r>
        <w:rPr>
          <w:rFonts w:ascii="Times New Roman" w:cs="Times New Roman" w:eastAsia="Times New Roman" w:hAnsi="Times New Roman"/>
          <w:sz w:val="24"/>
          <w:szCs w:val="24"/>
        </w:rPr>
        <w:t xml:space="preserve">This annex provides a complete inventory of the analytical pipeline underlying the dissertation: all final-scope Python scripts with their one-line purpose, primary input files, and primary output files; the full key parameter table used across the analytical pipeline; the Tableau Public dashboard links; and a reproducibility note covering the software environment.</w:t>
      </w:r>
    </w:p>
    <w:p>
      <w:pPr>
        <w:pStyle w:val="Heading2"/>
        <w:spacing w:after="160" w:before="400" w:line="360"/>
      </w:pPr>
      <w:r>
        <w:rPr>
          <w:rFonts w:ascii="Times New Roman" w:cs="Times New Roman" w:eastAsia="Times New Roman" w:hAnsi="Times New Roman"/>
          <w:b/>
          <w:bCs/>
          <w:sz w:val="26"/>
          <w:szCs w:val="26"/>
        </w:rPr>
        <w:t xml:space="preserve">A.1  Python Script Inventory</w:t>
      </w:r>
    </w:p>
    <w:p>
      <w:pPr>
        <w:spacing w:after="160" w:before="0" w:line="360"/>
        <w:jc w:val="both"/>
      </w:pPr>
      <w:r>
        <w:rPr>
          <w:rFonts w:ascii="Times New Roman" w:cs="Times New Roman" w:eastAsia="Times New Roman" w:hAnsi="Times New Roman"/>
          <w:sz w:val="24"/>
          <w:szCs w:val="24"/>
        </w:rPr>
        <w:t xml:space="preserve">All scripts are stored in the project directory and should be run in the order of their numeric prefix; scripts within the same prefix group (e.g., 11a–11f) are independent of one another. Scripts 04–07 form the spatial and economic exposure pipeline (Pillars 1–2). Scripts 10–12 form the compound flood disruption and adaptation pipeline (Pillar 3); scripts 09, 09b, and 09c provide supplementary animation and geoid-sensitivity outputs. Script 13 forms the statistical and machine-learning analysis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700"/>
            <w:tcBorders>
              <w:top w:val="single" w:color="999999" w:sz="4"/>
              <w:left w:val="single" w:color="999999" w:sz="4"/>
              <w:bottom w:val="single" w:color="999999" w:sz="4"/>
              <w:right w:val="single" w:color="999999" w:sz="4"/>
            </w:tcBorders>
            <w:shd w:fill="D9E1F2" w:color="D9E1F2" w:val="solid"/>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2"/>
                <w:szCs w:val="22"/>
              </w:rPr>
              <w:t xml:space="preserve">Script</w:t>
            </w:r>
          </w:p>
        </w:tc>
        <w:tc>
          <w:tcPr>
            <w:tcW w:type="dxa" w:w="3200"/>
            <w:tcBorders>
              <w:top w:val="single" w:color="999999" w:sz="4"/>
              <w:left w:val="single" w:color="999999" w:sz="4"/>
              <w:bottom w:val="single" w:color="999999" w:sz="4"/>
              <w:right w:val="single" w:color="999999" w:sz="4"/>
            </w:tcBorders>
            <w:shd w:fill="D9E1F2" w:color="D9E1F2" w:val="solid"/>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2"/>
                <w:szCs w:val="22"/>
              </w:rPr>
              <w:t xml:space="preserve">One-line purpose</w:t>
            </w:r>
          </w:p>
        </w:tc>
        <w:tc>
          <w:tcPr>
            <w:tcW w:type="dxa" w:w="1700"/>
            <w:tcBorders>
              <w:top w:val="single" w:color="999999" w:sz="4"/>
              <w:left w:val="single" w:color="999999" w:sz="4"/>
              <w:bottom w:val="single" w:color="999999" w:sz="4"/>
              <w:right w:val="single" w:color="999999" w:sz="4"/>
            </w:tcBorders>
            <w:shd w:fill="D9E1F2" w:color="D9E1F2" w:val="solid"/>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2"/>
                <w:szCs w:val="22"/>
              </w:rPr>
              <w:t xml:space="preserve">Primary inputs</w:t>
            </w:r>
          </w:p>
        </w:tc>
        <w:tc>
          <w:tcPr>
            <w:tcW w:type="dxa" w:w="1400"/>
            <w:tcBorders>
              <w:top w:val="single" w:color="999999" w:sz="4"/>
              <w:left w:val="single" w:color="999999" w:sz="4"/>
              <w:bottom w:val="single" w:color="999999" w:sz="4"/>
              <w:right w:val="single" w:color="999999" w:sz="4"/>
            </w:tcBorders>
            <w:shd w:fill="D9E1F2" w:color="D9E1F2" w:val="solid"/>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2"/>
                <w:szCs w:val="22"/>
              </w:rPr>
              <w:t xml:space="preserve">Primary outputs</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sealevel_cleaner.py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Clean PSMSL raw monthly records to annual mean sea level series</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sea_level_leixoes_monthly.csv
sea_level_sines_monthly.csv</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sea_level_leixoes_monthly_cleaned.csv
sea_level_sines_monthly_cleaned.csv</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04_merge_dem.py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Mosaic two Copernicus GLO-30 DEM tiles into a single DEM for mainland Portugal</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COP DEM 1.tif
COP DEM 2.tif</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dem_portugal_merged.tif</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05_flood_exposure.py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Compute connectivity-constrained flood zones at 20 SLR thresholds (all scenarios)</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dem_portugal_merged.tif
Continente_CAOP2024_1.gpkg</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flood_scenario_summary.csv</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06a_economic_gdp.py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Assign NUTS3 GDP at risk to each SLR threshold (Pillar 1)</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flood_scenario_summary.csv
pordata.xlsx
nuts3_wgs84.geojson</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gdp_at_risk_pillar1.csv
gdp_at_risk_pillar1_summary.csv</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06b_osm_infrastructure.py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Extract, classify, and value infrastructure assets from OSM within flood zones (Pillar 2)</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flood_scenario_summary.csv
_overpass_cache_*.json</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infrastructure_at_risk_pillar2_detail.csv
infrastructure_at_risk_pillar2_summary.csv</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06b_sensitivity.py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50%-low-density building count sensitivity variant for Pillar 2</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infrastructure_at_risk_pillar2_detail.csv</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infrastructure_sensitivity.csv</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07_export_tableau.py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Export Pillar 1–2 Tableau-ready CSVs for Dashboard 2</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gdp_at_risk_pillar1.csv
infrastructure_at_risk_pillar2_detail.csv</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tableau/ (multiple CSVs)</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09_flood_animation.py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Generate animated flood progression GIF for supplementary materials</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dem_portugal_merged.tif
flood_scenario_summary.csv</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animations/</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09b_geoid_sensitivity.py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Apply +0.15 m geoid offset to Pillar 1 inundation thresholds</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gdp_at_risk_pillar1.csv</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geoid_sensitivity_area.csv
geoid_sensitivity_gdp.csv
geoid_sensitivity_summary.csv</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09c_geoid_sensitivity_infra.py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Apply +0.15 m geoid offset to Pillar 2 asset exposure</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infrastructure_at_risk_pillar2_detail.csv</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infra_geoid_sensitivity_detail.csv
infra_geoid_sensitivity_summary.csv</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10a_mondego_bypass.py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Compound flood disruption model: Mondego railway section (Alfarelos–Formoselha)</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Section parameters coded directly in the script</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mondego_disruption_cost.csv
mondego_flood_frequency.csv
mondego_bypass_comparison.csv</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10b_tagus_floodplain.py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Compound flood disruption model: Tagus floodplain railway section (Castanheira–Alverca)</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Section parameters coded directly in the script</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tagus_disruption_cost.csv
tagus_flood_frequency.csv
tagus_bypass_comparison.csv</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10c_aveiro_ria.py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Compound flood disruption model: Aveiro Ria railway — Cacia–Estarreja section (km 265–275), running along the Ria de Aveiro lagoon fringe at approximately 0.3 m MSL; barrier breach threshold active at 0.60 m SLR</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Section parameters coded directly in the script</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aveiro_disruption_cost.csv
aveiro_flood_frequency.csv
aveiro_bypass_comparison.csv</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11a_ports.py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Compound flood disruption model: Ports of Leixões, Lisbon, and Setúbal (CDDR framework)</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Section parameters coded directly in the script</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ports_disruption_cost.csv
ports_flood_frequency.csv
ports_adaptation_comparison.csv</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11c_a1_motorway.py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Compound flood disruption model: A1 motorway estuarine segment (road)</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Section parameters coded directly in the script</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a1_disruption_cost.csv
a1_flood_frequency.csv
a1_adaptation_comparison.csv</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11d_a14_mondego.py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Compound flood disruption model: A14 motorway Mondego crossing (road)</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Section parameters coded directly in the script</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a14_disruption_cost.csv
a14_flood_frequency.csv
a14_adaptation_comparison.csv</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11e_algarve_faro_olhao.py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Compound flood disruption model: Faro–Olhão coastal railway section (Linha do Algarve)</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Section parameters coded directly in the script</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algarve_faro_olhao_disruption_cost.csv
algarve_faro_olhao_flood_frequency.csv
algarve_faro_olhao_adaptation_comparison.csv</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11f_algarve_portimao_arade.py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Compound flood disruption model: Portimão/Arade estuary railway — high-risk section facing existential operational risk under high scenarios; disruption-cost trajectory and structural adaptation options (managed retreat, viaduct, realignment) computed</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Section parameters coded directly in the script</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algarve_portimao_arade_disruption_cost.csv
algarve_portimao_arade_flood_frequency.csv
algarve_portimao_arade_adaptation_comparison.csv</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12a_consolidate_pillar3.py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Consolidate all Pillar 3 per-section disruption cost CSVs</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All *_disruption_cost.csv files</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pillar3_disruption_master.csv</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12b_consolidate_adaptation.py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Consolidate all per-section adaptation cost-benefit CSVs</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All *_adaptation_comparison.csv files</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pillar3_adaptation_master.csv</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12c_normalize_pillar3.py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Normalise Pillar 3 master files to long format for Tableau</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pillar3_disruption_master.csv
pillar3_adaptation_master.csv</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pillar3_disruption_normalized.csv
pillar3_adaptation_normalized.csv</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13a_sealevel_regression.py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OLS regression on PSMSL tide gauge records; compute trend rates with 95% CIs</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sea_level_leixoes_monthly_cleaned.csv
sea_level_sines_monthly_cleaned.csv</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sealevel_regression_summary.csv
sealevel_regression_chart.png</w:t>
            </w:r>
          </w:p>
        </w:tc>
      </w:tr>
      <w:tr>
        <w:tc>
          <w:tcPr>
            <w:tcW w:type="dxa" w:w="2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13b_coastal_risk_clustering.py</w:t>
            </w:r>
          </w:p>
        </w:tc>
        <w:tc>
          <w:tcPr>
            <w:tcW w:type="dxa" w:w="3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K-Means clustering (k=4) of 12 coastal NUTS3 regions by composite risk exposure</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gdp_at_risk_pillar1.csv
infrastructure_at_risk_pillar2_detail.csv</w:t>
            </w:r>
          </w:p>
        </w:tc>
        <w:tc>
          <w:tcPr>
            <w:tcW w:type="dxa" w:w="14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coastal_risk_clusters.csv
coastal_risk_clusters.xlsx
coastal_risk_clustering_chart.png</w:t>
            </w:r>
          </w:p>
        </w:tc>
      </w:tr>
    </w:tbl>
    <w:p>
      <w:pPr>
        <w:spacing w:after="240" w:before="80" w:line="360"/>
        <w:jc w:val="center"/>
      </w:pPr>
      <w:r>
        <w:rPr>
          <w:rFonts w:ascii="Times New Roman" w:cs="Times New Roman" w:eastAsia="Times New Roman" w:hAnsi="Times New Roman"/>
          <w:i/>
          <w:iCs/>
          <w:sz w:val="20"/>
          <w:szCs w:val="20"/>
        </w:rPr>
        <w:t xml:space="preserve">Table A.1: Python script inventory. All scripts are in the project directory. Section parameters for Pillar 3 scripts are coded directly from DEM profiling, OSM analysis, and the hydrological literature; see §3.4–3.6 for parameter derivation methodology. The Pillar 3 model covers ten sections in total: three railway sections in scripts 10a–10c, three ports in script 11a, and four additional road/rail sections in scripts 11c–11f; script 11b, concerning the southern access to the Vasco da Gama Bridge, was assessed and excluded from the final scope because it did not meet the required modelling criteria.</w:t>
      </w:r>
    </w:p>
    <w:p>
      <w:pPr>
        <w:pStyle w:val="Heading2"/>
        <w:spacing w:after="160" w:before="400" w:line="360"/>
      </w:pPr>
      <w:r>
        <w:rPr>
          <w:rFonts w:ascii="Times New Roman" w:cs="Times New Roman" w:eastAsia="Times New Roman" w:hAnsi="Times New Roman"/>
          <w:b/>
          <w:bCs/>
          <w:sz w:val="26"/>
          <w:szCs w:val="26"/>
        </w:rPr>
        <w:t xml:space="preserve">A.2  Key Parameter Table</w:t>
      </w:r>
    </w:p>
    <w:p>
      <w:pPr>
        <w:spacing w:after="160" w:before="0" w:line="360"/>
        <w:jc w:val="both"/>
      </w:pPr>
      <w:r>
        <w:rPr>
          <w:rFonts w:ascii="Times New Roman" w:cs="Times New Roman" w:eastAsia="Times New Roman" w:hAnsi="Times New Roman"/>
          <w:sz w:val="24"/>
          <w:szCs w:val="24"/>
        </w:rPr>
        <w:t xml:space="preserve">Table A.2 summarises the key modelling parameters used across the analytical pipeline, covering the spatial exposure, economic exposure, infrastructure valuation, disruption-cost, and adaptation components. All parameters are coded directly in the relevant scripts; no parameter in this table is estimated from data unless explicitly stated.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999999" w:sz="4"/>
              <w:left w:val="single" w:color="999999" w:sz="4"/>
              <w:bottom w:val="single" w:color="999999" w:sz="4"/>
              <w:right w:val="single" w:color="999999" w:sz="4"/>
            </w:tcBorders>
            <w:shd w:fill="D9E1F2" w:color="D9E1F2" w:val="solid"/>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2"/>
                <w:szCs w:val="22"/>
              </w:rPr>
              <w:t xml:space="preserve">Parameter</w:t>
            </w:r>
          </w:p>
        </w:tc>
        <w:tc>
          <w:tcPr>
            <w:tcW w:type="dxa" w:w="2000"/>
            <w:tcBorders>
              <w:top w:val="single" w:color="999999" w:sz="4"/>
              <w:left w:val="single" w:color="999999" w:sz="4"/>
              <w:bottom w:val="single" w:color="999999" w:sz="4"/>
              <w:right w:val="single" w:color="999999" w:sz="4"/>
            </w:tcBorders>
            <w:shd w:fill="D9E1F2" w:color="D9E1F2" w:val="solid"/>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2"/>
                <w:szCs w:val="22"/>
              </w:rPr>
              <w:t xml:space="preserve">Value</w:t>
            </w:r>
          </w:p>
        </w:tc>
        <w:tc>
          <w:tcPr>
            <w:tcW w:type="dxa" w:w="4200"/>
            <w:tcBorders>
              <w:top w:val="single" w:color="999999" w:sz="4"/>
              <w:left w:val="single" w:color="999999" w:sz="4"/>
              <w:bottom w:val="single" w:color="999999" w:sz="4"/>
              <w:right w:val="single" w:color="999999" w:sz="4"/>
            </w:tcBorders>
            <w:shd w:fill="D9E1F2" w:color="D9E1F2" w:val="solid"/>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2"/>
                <w:szCs w:val="22"/>
              </w:rPr>
              <w:t xml:space="preserve">Source / Justification</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SLR anchor — SSP1-2.6 / 2100</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+0.40 m above 2020 MSL</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Fox-Kemper et al. (2021), Table 9.9, median projection; +0.06 m baseline offset applied</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SLR anchor — SSP2-4.5 / 2100</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+0.60 m above 2020 MSL</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Fox-Kemper et al. (2021), Table 9.9, median projection; +0.06 m baseline offset applied</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SLR anchor — SSP5-8.5 / 2100</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+1.00 m above 2020 MSL</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Fox-Kemper et al. (2021), Table 9.9, median projection; +0.06 m baseline offset applied</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SLR baseline offset</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+0.06 m</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AR6 1995–2014 to 2020 conversion (Fox-Kemper et al., 2021)</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SLR threshold grid</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0.1 m to 2.0 m, 20 steps</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Fixed inundation threshold grid; scenario-year SLR values are interpolated from AR6 anchor trajectories and linked to the corresponding threshold outputs</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Geoid sensitivity offset</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+0.15 m</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Conservative sensitivity offset, below the global average discrepancy reported by Seeger &amp; Minderhoud (2026); applied as additional SLR threshold offset</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Flood sensitivity parameter k (default)</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ln(2)/0.10 ≈ 6.93 m⁻¹</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Consistent with empirical range of Moftakhari et al. (2017); applied where section-specific calibration unavailable</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k₁ (low sensitivity)</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ln(2)/0.15 ≈ 4.62 m⁻¹</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Sensitivity variant — return period halves per 15 cm SLR</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k₂ (mid, default)</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ln(2)/0.10 ≈ 6.93 m⁻¹</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Central estimate (Moftakhari et al., 2017)</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k₃ (high sensitivity)</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ln(2)/0.07 ≈ 9.90 m⁻¹</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Sensitivity variant — return period halves per 7 cm SLR</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Annual closure days ceiling</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365 days/year per section</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Physical maximum; sections at ceiling treated as non-operational under no-adaptation assumption</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DDR — Railway (MID)</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€0.04–1.5 M/day</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Section-specific; see Table 4.3. LOW = ×0.50; HIGH = ×1.75 of MID</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DDR — Road (MID)</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€0.6–2.5 M/day</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Section-specific; see Table 4.3. LOW = ×0.50; HIGH = ×1.75 of MID</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DDR — Port (CDDR, MID)</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3–5% of throughput/day</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Cargo Daily Disruption Rate; see Table 4.3</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Discount rate — low</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0%</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Nominal; provides undiscounted cost comparison</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Discount rate — central</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1.4%</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Stern (2006) social discount rate for intergenerational climate investments</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Discount rate — high</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3%</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Upper bound consistent with EU public project appraisal guidance</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Study horizon</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2025–2100 inclusive</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Consistent with IPCC AR6 scenario endpoint; headline disruption-cost accumulation is undiscounted; discount rates are applied in the adaptation break-even analysis</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GDP data vintage</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2022 (INE/PORDATA)</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Most recent available NUTS3 regional GDP at analysis date; expressed in 2022 euros throughout</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Building construction cost</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€1,650/m² (floor area)</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INE SICC (Sistema de Informação de Custos de Construção) 2025 index: +3.3% in 2024, +4.0% in 2025 from 2022 base of €1,412/m²</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Building land replacement cost</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€300/m² (floor area)</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INE housing price statistics Q4 2024, coastal Portugal weighted average</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Building total replacement cost</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€1,950/m² (construction + land)</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Sum of construction and land replacement components; coded directly in 06b_osm_infrastructure.py</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Building floor area per storey</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102 m²</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INE Census 2021 national average useful floor area per storey</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Building storey multiplier</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NUTS3-specific: 1.5–5.0 storeys</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INE Census 2021 building height data; Grande Lisboa = 5.0, Área Metropolitana do Porto = 4.0, Algarve/Península de Setúbal = 3.0, most coastal NUTS3 = 2.0–2.5, rural coastal = 1.5; coded directly in 06b_osm_infrastructure.py</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Utility network bundle cost</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€800,000/km of non-motorway road at risk</w:t>
            </w:r>
          </w:p>
        </w:tc>
        <w:tc>
          <w:tcPr>
            <w:tcW w:type="dxa" w:w="4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Water distribution €250,000/km (ERSAR Relatório Anual 2023) + sewage collection €350,000/km (ERSAR 2023) + electricity distribution €200,000/km (ACER Unit Investment Cost Indicators 2023); applied as co-located proxy with road network; not applied to motorways</w:t>
            </w:r>
          </w:p>
        </w:tc>
      </w:tr>
    </w:tbl>
    <w:p>
      <w:pPr>
        <w:spacing w:after="240" w:before="80" w:line="360"/>
        <w:jc w:val="center"/>
      </w:pPr>
      <w:r>
        <w:rPr>
          <w:rFonts w:ascii="Times New Roman" w:cs="Times New Roman" w:eastAsia="Times New Roman" w:hAnsi="Times New Roman"/>
          <w:i/>
          <w:iCs/>
          <w:sz w:val="20"/>
          <w:szCs w:val="20"/>
        </w:rPr>
        <w:t xml:space="preserve">Table A.2: Key parameter table. All monetary values are expressed in nominal 2022 euros unless otherwise stated.</w:t>
      </w:r>
    </w:p>
    <w:p>
      <w:pPr>
        <w:pStyle w:val="Heading2"/>
        <w:spacing w:after="160" w:before="400" w:line="360"/>
      </w:pPr>
      <w:r>
        <w:rPr>
          <w:rFonts w:ascii="Times New Roman" w:cs="Times New Roman" w:eastAsia="Times New Roman" w:hAnsi="Times New Roman"/>
          <w:b/>
          <w:bCs/>
          <w:sz w:val="26"/>
          <w:szCs w:val="26"/>
        </w:rPr>
        <w:t xml:space="preserve">A.3  Tableau Public Dashboards</w:t>
      </w:r>
    </w:p>
    <w:p>
      <w:pPr>
        <w:spacing w:after="160" w:before="0" w:line="360"/>
        <w:jc w:val="both"/>
      </w:pPr>
      <w:r>
        <w:rPr>
          <w:rFonts w:ascii="Times New Roman" w:cs="Times New Roman" w:eastAsia="Times New Roman" w:hAnsi="Times New Roman"/>
          <w:sz w:val="24"/>
          <w:szCs w:val="24"/>
        </w:rPr>
        <w:t xml:space="preserve">All interactive results visualisations are published to Tableau Public and freely accessible without a Tableau licence. The five dashboards are hosted within a single published workbook:</w:t>
      </w:r>
    </w:p>
    <w:p>
      <w:pPr>
        <w:spacing w:after="160" w:before="0" w:line="360"/>
        <w:jc w:val="both"/>
      </w:pPr>
      <w:r>
        <w:rPr>
          <w:rFonts w:ascii="Times New Roman" w:cs="Times New Roman" w:eastAsia="Times New Roman" w:hAnsi="Times New Roman"/>
          <w:b/>
          <w:bCs/>
          <w:sz w:val="24"/>
          <w:szCs w:val="24"/>
        </w:rPr>
        <w:t xml:space="preserve">Published workbook URL: </w:t>
      </w:r>
      <w:r>
        <w:rPr>
          <w:rFonts w:ascii="Times New Roman" w:cs="Times New Roman" w:eastAsia="Times New Roman" w:hAnsi="Times New Roman"/>
          <w:sz w:val="24"/>
          <w:szCs w:val="24"/>
        </w:rPr>
        <w:t xml:space="preserve">https://public.tableau.com/app/profile/celso.simoes/viz/SeaLevelRiseImpactCoastalPortugal20252100/TheAdaptationCase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800"/>
            <w:tcBorders>
              <w:top w:val="single" w:color="999999" w:sz="4"/>
              <w:left w:val="single" w:color="999999" w:sz="4"/>
              <w:bottom w:val="single" w:color="999999" w:sz="4"/>
              <w:right w:val="single" w:color="999999" w:sz="4"/>
            </w:tcBorders>
            <w:shd w:fill="D9E1F2" w:color="D9E1F2" w:val="solid"/>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2"/>
                <w:szCs w:val="22"/>
              </w:rPr>
              <w:t xml:space="preserve">Dashboard</w:t>
            </w:r>
          </w:p>
        </w:tc>
        <w:tc>
          <w:tcPr>
            <w:tcW w:type="dxa" w:w="2200"/>
            <w:tcBorders>
              <w:top w:val="single" w:color="999999" w:sz="4"/>
              <w:left w:val="single" w:color="999999" w:sz="4"/>
              <w:bottom w:val="single" w:color="999999" w:sz="4"/>
              <w:right w:val="single" w:color="999999" w:sz="4"/>
            </w:tcBorders>
            <w:shd w:fill="D9E1F2" w:color="D9E1F2" w:val="solid"/>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2"/>
                <w:szCs w:val="22"/>
              </w:rPr>
              <w:t xml:space="preserve">Title</w:t>
            </w:r>
          </w:p>
        </w:tc>
        <w:tc>
          <w:tcPr>
            <w:tcW w:type="dxa" w:w="6000"/>
            <w:tcBorders>
              <w:top w:val="single" w:color="999999" w:sz="4"/>
              <w:left w:val="single" w:color="999999" w:sz="4"/>
              <w:bottom w:val="single" w:color="999999" w:sz="4"/>
              <w:right w:val="single" w:color="999999" w:sz="4"/>
            </w:tcBorders>
            <w:shd w:fill="D9E1F2" w:color="D9E1F2" w:val="solid"/>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2"/>
                <w:szCs w:val="22"/>
              </w:rPr>
              <w:t xml:space="preserve">Content</w:t>
            </w:r>
          </w:p>
        </w:tc>
      </w:tr>
      <w:tr>
        <w:tc>
          <w:tcPr>
            <w:tcW w:type="dxa" w:w="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1</w:t>
            </w:r>
          </w:p>
        </w:tc>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The Cost of Inaction</w:t>
            </w:r>
          </w:p>
        </w:tc>
        <w:tc>
          <w:tcPr>
            <w:tcW w:type="dxa" w:w="6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€104.08 billion headline cumulative disruption cost (SSP5-8.5/Baseline/mid). Line chart of disruption cost by section and scenario. Scenario and Variant single-select filters.</w:t>
            </w:r>
          </w:p>
        </w:tc>
      </w:tr>
      <w:tr>
        <w:tc>
          <w:tcPr>
            <w:tcW w:type="dxa" w:w="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2</w:t>
            </w:r>
          </w:p>
        </w:tc>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What Is at Risk</w:t>
            </w:r>
          </w:p>
        </w:tc>
        <w:tc>
          <w:tcPr>
            <w:tcW w:type="dxa" w:w="6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Dual choropleth: flood hazard map (flood area km² by NUTS3) and economic exposure map (GDP at risk €bn by NUTS3). Scenario and Year filters.</w:t>
            </w:r>
          </w:p>
        </w:tc>
      </w:tr>
      <w:tr>
        <w:tc>
          <w:tcPr>
            <w:tcW w:type="dxa" w:w="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3</w:t>
            </w:r>
          </w:p>
        </w:tc>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The Impact in Detail</w:t>
            </w:r>
          </w:p>
        </w:tc>
        <w:tc>
          <w:tcPr>
            <w:tcW w:type="dxa" w:w="6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Side-by-side line charts of annual and cumulative disruption cost by section. Section Type, Scenario, and Variant filters.</w:t>
            </w:r>
          </w:p>
        </w:tc>
      </w:tr>
      <w:tr>
        <w:tc>
          <w:tcPr>
            <w:tcW w:type="dxa" w:w="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4</w:t>
            </w:r>
          </w:p>
        </w:tc>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The Adaptation Case</w:t>
            </w:r>
          </w:p>
        </w:tc>
        <w:tc>
          <w:tcPr>
            <w:tcW w:type="dxa" w:w="6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Adaptation break-even timeline and cost vs payback bubble chart across the ten modelled sections and their adaptation options. Shared Scenario filter.</w:t>
            </w:r>
          </w:p>
        </w:tc>
      </w:tr>
      <w:tr>
        <w:tc>
          <w:tcPr>
            <w:tcW w:type="dxa" w:w="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5</w:t>
            </w:r>
          </w:p>
        </w:tc>
        <w:tc>
          <w:tcPr>
            <w:tcW w:type="dxa" w:w="2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Coastal Risk Classification</w:t>
            </w:r>
          </w:p>
        </w:tc>
        <w:tc>
          <w:tcPr>
            <w:tcW w:type="dxa" w:w="6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K-Means risk tier choropleth by NUTS3 region (Priority Risk / High Risk / Moderate Risk / Low Risk). Static (SSP5-8.5 / 2100 endpoint).</w:t>
            </w:r>
          </w:p>
        </w:tc>
      </w:tr>
    </w:tbl>
    <w:p>
      <w:pPr>
        <w:spacing w:after="240" w:before="80" w:line="360"/>
        <w:jc w:val="center"/>
      </w:pPr>
      <w:r>
        <w:rPr>
          <w:rFonts w:ascii="Times New Roman" w:cs="Times New Roman" w:eastAsia="Times New Roman" w:hAnsi="Times New Roman"/>
          <w:i/>
          <w:iCs/>
          <w:sz w:val="20"/>
          <w:szCs w:val="20"/>
        </w:rPr>
        <w:t xml:space="preserve">Table A.3: Tableau Public dashboard inventory. All dashboards use Fixed Generic Desktop layout (1366×768). Data sources: flood_scenario_summary.csv (Dashboard 2), gdp_at_risk_pillar1.csv (Dashboard 2), pillar3_disruption_normalized.csv (Dashboards 1, 3), pillar3_adaptation_normalized.csv (Dashboard 4), coastal_risk_clusters.xlsx blended with nuts3_wgs84.geojson (Dashboard 5).</w:t>
      </w:r>
    </w:p>
    <w:p>
      <w:pPr>
        <w:pStyle w:val="Heading2"/>
        <w:spacing w:after="160" w:before="400" w:line="360"/>
      </w:pPr>
      <w:r>
        <w:rPr>
          <w:rFonts w:ascii="Times New Roman" w:cs="Times New Roman" w:eastAsia="Times New Roman" w:hAnsi="Times New Roman"/>
          <w:b/>
          <w:bCs/>
          <w:sz w:val="26"/>
          <w:szCs w:val="26"/>
        </w:rPr>
        <w:t xml:space="preserve">A.4  Reproducibility Note</w:t>
      </w:r>
    </w:p>
    <w:p>
      <w:pPr>
        <w:spacing w:after="160" w:before="0" w:line="360"/>
        <w:jc w:val="both"/>
      </w:pPr>
      <w:r>
        <w:rPr>
          <w:rFonts w:ascii="Times New Roman" w:cs="Times New Roman" w:eastAsia="Times New Roman" w:hAnsi="Times New Roman"/>
          <w:sz w:val="24"/>
          <w:szCs w:val="24"/>
        </w:rPr>
        <w:t xml:space="preserve">The analytical pipeline was developed and executed in the following software environment. The pipeline can be reproduced by installing the dependencies listed below and running each script in numeric order from the project directory, subject to availability of the input files and cached OSM/Overpass data used during the original run. No paid software is required for the analytical pipeline; Tableau Desktop Public Edition is required to modify the dashboards, but all dashboards are freely viewable via the Tableau Public URL in Section A.3.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tcBorders>
              <w:top w:val="single" w:color="999999" w:sz="4"/>
              <w:left w:val="single" w:color="999999" w:sz="4"/>
              <w:bottom w:val="single" w:color="999999" w:sz="4"/>
              <w:right w:val="single" w:color="999999" w:sz="4"/>
            </w:tcBorders>
            <w:shd w:fill="D9E1F2" w:color="D9E1F2" w:val="solid"/>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2"/>
                <w:szCs w:val="22"/>
              </w:rPr>
              <w:t xml:space="preserve">Component</w:t>
            </w:r>
          </w:p>
        </w:tc>
        <w:tc>
          <w:tcPr>
            <w:tcW w:type="dxa" w:w="6200"/>
            <w:tcBorders>
              <w:top w:val="single" w:color="999999" w:sz="4"/>
              <w:left w:val="single" w:color="999999" w:sz="4"/>
              <w:bottom w:val="single" w:color="999999" w:sz="4"/>
              <w:right w:val="single" w:color="999999" w:sz="4"/>
            </w:tcBorders>
            <w:shd w:fill="D9E1F2" w:color="D9E1F2" w:val="solid"/>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2"/>
                <w:szCs w:val="22"/>
              </w:rPr>
              <w:t xml:space="preserve">Version / Detail</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Operating system</w:t>
            </w:r>
          </w:p>
        </w:tc>
        <w:tc>
          <w:tcPr>
            <w:tcW w:type="dxa" w:w="6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macOS (Apple Silicon) — primary development environment</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Python</w:t>
            </w:r>
          </w:p>
        </w:tc>
        <w:tc>
          <w:tcPr>
            <w:tcW w:type="dxa" w:w="6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3.12.13</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geopandas</w:t>
            </w:r>
          </w:p>
        </w:tc>
        <w:tc>
          <w:tcPr>
            <w:tcW w:type="dxa" w:w="6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1.1.3</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numpy</w:t>
            </w:r>
          </w:p>
        </w:tc>
        <w:tc>
          <w:tcPr>
            <w:tcW w:type="dxa" w:w="6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1.26.4 (via pip)</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pandas</w:t>
            </w:r>
          </w:p>
        </w:tc>
        <w:tc>
          <w:tcPr>
            <w:tcW w:type="dxa" w:w="6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2.2.2</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scipy</w:t>
            </w:r>
          </w:p>
        </w:tc>
        <w:tc>
          <w:tcPr>
            <w:tcW w:type="dxa" w:w="6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1.13.1</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scikit-learn</w:t>
            </w:r>
          </w:p>
        </w:tc>
        <w:tc>
          <w:tcPr>
            <w:tcW w:type="dxa" w:w="6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1.5.1 (K-Means clustering — 13b_coastal_risk_clustering.py)</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statsmodels</w:t>
            </w:r>
          </w:p>
        </w:tc>
        <w:tc>
          <w:tcPr>
            <w:tcW w:type="dxa" w:w="6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0.14.2 (OLS regression — 13a_sealevel_regression.py)</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rasterio</w:t>
            </w:r>
          </w:p>
        </w:tc>
        <w:tc>
          <w:tcPr>
            <w:tcW w:type="dxa" w:w="6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1.4.4 (DEM processing — 04_merge_dem.py, 05_flood_exposure.py)</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overpy</w:t>
            </w:r>
          </w:p>
        </w:tc>
        <w:tc>
          <w:tcPr>
            <w:tcW w:type="dxa" w:w="6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version unconfirmed; used only during OSM/Overpass data collection (06b_osm_infrastructure.py)</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matplotlib / seaborn</w:t>
            </w:r>
          </w:p>
        </w:tc>
        <w:tc>
          <w:tcPr>
            <w:tcW w:type="dxa" w:w="6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matplotlib 3.9.2 / seaborn 0.13.2 (via pip; chart generation — 13a, 13b)</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Node.js</w:t>
            </w:r>
          </w:p>
        </w:tc>
        <w:tc>
          <w:tcPr>
            <w:tcW w:type="dxa" w:w="6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v22.22.0 (dissertation chapter DOCX generation)</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docx (Node.js library)</w:t>
            </w:r>
          </w:p>
        </w:tc>
        <w:tc>
          <w:tcPr>
            <w:tcW w:type="dxa" w:w="6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9.6.1 (npm package — all chapter*.js scripts)</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Tableau Desktop</w:t>
            </w:r>
          </w:p>
        </w:tc>
        <w:tc>
          <w:tcPr>
            <w:tcW w:type="dxa" w:w="6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Public Edition 2025.1.0 (dashboard authoring only; not required for pipeline)</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IPCC AR6 SLR values</w:t>
            </w:r>
          </w:p>
        </w:tc>
        <w:tc>
          <w:tcPr>
            <w:tcW w:type="dxa" w:w="6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Anchor-point dictionaries coded directly in 05_flood_exposure.py and 06a_economic_gdp.py; sourced from Fox-Kemper et al. (2021), Table 9.9</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Copernicus GLO-30 DEM</w:t>
            </w:r>
          </w:p>
        </w:tc>
        <w:tc>
          <w:tcPr>
            <w:tcW w:type="dxa" w:w="6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Two 1°×1° tiles downloaded from dataspace.copernicus.eu; merged by 04_merge_dem.py into dem_portugal_merged.tif</w:t>
            </w:r>
          </w:p>
        </w:tc>
      </w:tr>
      <w:tr>
        <w:tc>
          <w:tcPr>
            <w:tcW w:type="dxa" w:w="28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PSMSL data</w:t>
            </w:r>
          </w:p>
        </w:tc>
        <w:tc>
          <w:tcPr>
            <w:tcW w:type="dxa" w:w="62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Monthly RLR series for Leixões (station 60) and Sines (station 197); downloaded from psmsl.org/data/obtaining/rlr.monthly.data/ and aggregated to annual series by sealevel_cleaner.py</w:t>
            </w:r>
          </w:p>
        </w:tc>
      </w:tr>
    </w:tbl>
    <w:p>
      <w:pPr>
        <w:spacing w:after="240" w:before="80" w:line="360"/>
        <w:jc w:val="center"/>
      </w:pPr>
      <w:r>
        <w:rPr>
          <w:rFonts w:ascii="Times New Roman" w:cs="Times New Roman" w:eastAsia="Times New Roman" w:hAnsi="Times New Roman"/>
          <w:i/>
          <w:iCs/>
          <w:sz w:val="20"/>
          <w:szCs w:val="20"/>
        </w:rPr>
        <w:t xml:space="preserve">Table A.4: Software environment. The pipeline does not use random seeds beyond the K-Means clustering in 13b_coastal_risk_clustering.py, where random_state=42 is set for reproducibility.</w:t>
      </w:r>
    </w:p>
    <w:p>
      <w:pPr>
        <w:pStyle w:val="Heading2"/>
        <w:spacing w:after="160" w:before="400" w:line="360"/>
      </w:pPr>
      <w:r>
        <w:rPr>
          <w:rFonts w:ascii="Times New Roman" w:cs="Times New Roman" w:eastAsia="Times New Roman" w:hAnsi="Times New Roman"/>
          <w:b/>
          <w:bCs/>
          <w:sz w:val="26"/>
          <w:szCs w:val="26"/>
        </w:rPr>
        <w:t xml:space="preserve">A.5  Supplementary Sensitivity Tables</w:t>
      </w:r>
    </w:p>
    <w:p>
      <w:pPr>
        <w:spacing w:after="160" w:before="0" w:line="360"/>
        <w:jc w:val="both"/>
      </w:pPr>
      <w:r>
        <w:rPr>
          <w:rFonts w:ascii="Times New Roman" w:cs="Times New Roman" w:eastAsia="Times New Roman" w:hAnsi="Times New Roman"/>
          <w:sz w:val="24"/>
          <w:szCs w:val="24"/>
        </w:rPr>
        <w:t xml:space="preserve">Table A.5 reproduces the Pillar 3 k-parameter sensitivity results reported in Table 3.2 of the main text, with additional scenario breakdown. Under SSP1-2.6 and SSP2-4.5, aggregate cost is not materially sensitive to k because sections remain in the pre-ceiling disruption regime throughout the study horizon. The k sensitivity is concentrated in SSP5-8.5, where the ceiling effect amplifies the k parameterisation disproportionately.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tcBorders>
              <w:top w:val="single" w:color="999999" w:sz="4"/>
              <w:left w:val="single" w:color="999999" w:sz="4"/>
              <w:bottom w:val="single" w:color="999999" w:sz="4"/>
              <w:right w:val="single" w:color="999999" w:sz="4"/>
            </w:tcBorders>
            <w:shd w:fill="D9E1F2" w:color="D9E1F2" w:val="solid"/>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2"/>
                <w:szCs w:val="22"/>
              </w:rPr>
              <w:t xml:space="preserve">k parameter</w:t>
            </w:r>
          </w:p>
        </w:tc>
        <w:tc>
          <w:tcPr>
            <w:tcW w:type="dxa" w:w="1600"/>
            <w:tcBorders>
              <w:top w:val="single" w:color="999999" w:sz="4"/>
              <w:left w:val="single" w:color="999999" w:sz="4"/>
              <w:bottom w:val="single" w:color="999999" w:sz="4"/>
              <w:right w:val="single" w:color="999999" w:sz="4"/>
            </w:tcBorders>
            <w:shd w:fill="D9E1F2" w:color="D9E1F2" w:val="solid"/>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2"/>
                <w:szCs w:val="22"/>
              </w:rPr>
              <w:t xml:space="preserve">k value (m⁻¹)</w:t>
            </w:r>
          </w:p>
        </w:tc>
        <w:tc>
          <w:tcPr>
            <w:tcW w:type="dxa" w:w="1700"/>
            <w:tcBorders>
              <w:top w:val="single" w:color="999999" w:sz="4"/>
              <w:left w:val="single" w:color="999999" w:sz="4"/>
              <w:bottom w:val="single" w:color="999999" w:sz="4"/>
              <w:right w:val="single" w:color="999999" w:sz="4"/>
            </w:tcBorders>
            <w:shd w:fill="D9E1F2" w:color="D9E1F2" w:val="solid"/>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2"/>
                <w:szCs w:val="22"/>
              </w:rPr>
              <w:t xml:space="preserve">SSP1-2.6 (€bn)</w:t>
            </w:r>
          </w:p>
        </w:tc>
        <w:tc>
          <w:tcPr>
            <w:tcW w:type="dxa" w:w="1700"/>
            <w:tcBorders>
              <w:top w:val="single" w:color="999999" w:sz="4"/>
              <w:left w:val="single" w:color="999999" w:sz="4"/>
              <w:bottom w:val="single" w:color="999999" w:sz="4"/>
              <w:right w:val="single" w:color="999999" w:sz="4"/>
            </w:tcBorders>
            <w:shd w:fill="D9E1F2" w:color="D9E1F2" w:val="solid"/>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2"/>
                <w:szCs w:val="22"/>
              </w:rPr>
              <w:t xml:space="preserve">SSP2-4.5 (€bn)</w:t>
            </w:r>
          </w:p>
        </w:tc>
        <w:tc>
          <w:tcPr>
            <w:tcW w:type="dxa" w:w="2000"/>
            <w:tcBorders>
              <w:top w:val="single" w:color="999999" w:sz="4"/>
              <w:left w:val="single" w:color="999999" w:sz="4"/>
              <w:bottom w:val="single" w:color="999999" w:sz="4"/>
              <w:right w:val="single" w:color="999999" w:sz="4"/>
            </w:tcBorders>
            <w:shd w:fill="D9E1F2" w:color="D9E1F2" w:val="solid"/>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2"/>
                <w:szCs w:val="22"/>
              </w:rPr>
              <w:t xml:space="preserve">SSP5-8.5 (€bn)</w:t>
            </w:r>
          </w:p>
        </w:tc>
      </w:tr>
      <w:tr>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k₁ (low)</w:t>
            </w:r>
          </w:p>
        </w:tc>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≈4.62</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≈3</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≈8</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≈32</w:t>
            </w:r>
          </w:p>
        </w:tc>
      </w:tr>
      <w:tr>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k₂ (mid, default)</w:t>
            </w:r>
          </w:p>
        </w:tc>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≈6.93</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3.78</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13.63</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104.08</w:t>
            </w:r>
          </w:p>
        </w:tc>
      </w:tr>
      <w:tr>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bCs/>
                <w:sz w:val="20"/>
                <w:szCs w:val="20"/>
              </w:rPr>
              <w:t xml:space="preserve">k₃ (high)</w:t>
            </w:r>
          </w:p>
        </w:tc>
        <w:tc>
          <w:tcPr>
            <w:tcW w:type="dxa" w:w="16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≈9.90</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≈6</w:t>
            </w:r>
          </w:p>
        </w:tc>
        <w:tc>
          <w:tcPr>
            <w:tcW w:type="dxa" w:w="17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≈32</w:t>
            </w:r>
          </w:p>
        </w:tc>
        <w:tc>
          <w:tcPr>
            <w:tcW w:type="dxa" w:w="2000"/>
            <w:tcBorders>
              <w:top w:val="single" w:color="999999" w:sz="4"/>
              <w:left w:val="single" w:color="999999" w:sz="4"/>
              <w:bottom w:val="single" w:color="999999" w:sz="4"/>
              <w:right w:val="single" w:color="999999" w:sz="4"/>
            </w:tcBorders>
            <w:tcMar>
              <w:top w:type="dxa" w:w="60"/>
              <w:left w:type="dxa" w:w="120"/>
              <w:bottom w:type="dxa" w:w="60"/>
              <w:right w:type="dxa" w:w="120"/>
            </w:tcMar>
          </w:tcPr>
          <w:p>
            <w:pPr>
              <w:spacing w:after="0" w:before="0" w:line="276"/>
              <w:jc w:val="left"/>
            </w:pPr>
            <w:r>
              <w:rPr>
                <w:rFonts w:ascii="Times New Roman" w:cs="Times New Roman" w:eastAsia="Times New Roman" w:hAnsi="Times New Roman"/>
                <w:b w:val="false"/>
                <w:bCs w:val="false"/>
                <w:sz w:val="20"/>
                <w:szCs w:val="20"/>
              </w:rPr>
              <w:t xml:space="preserve">&gt;500</w:t>
            </w:r>
          </w:p>
        </w:tc>
      </w:tr>
    </w:tbl>
    <w:p>
      <w:pPr>
        <w:spacing w:after="240" w:before="80" w:line="360"/>
        <w:jc w:val="center"/>
      </w:pPr>
      <w:r>
        <w:rPr>
          <w:rFonts w:ascii="Times New Roman" w:cs="Times New Roman" w:eastAsia="Times New Roman" w:hAnsi="Times New Roman"/>
          <w:i/>
          <w:iCs/>
          <w:sz w:val="20"/>
          <w:szCs w:val="20"/>
        </w:rPr>
        <w:t xml:space="preserve">Table A.5: Extended k-parameter sensitivity by scenario (cumulative disruption cost, 2025–2100, mid DDR variant). The values shown reproduce the k-sensitivity configuration reported in Table 3.2 of the main text. SSP1-2.6 and SSP2-4.5 values at k₁ and k₃ are approximate, based on the parametric sensitivity model; SSP5-8.5 values match Table 3.2. Under lower-emissions scenarios, the dominant source of uncertainty is the emissions pathway itself rather than the k parameterisation.</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4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2026-05-02T10:59:46.599Z</dcterms:created>
  <dcterms:modified xsi:type="dcterms:W3CDTF">2026-05-02T10:59:46.599Z</dcterms:modified>
</cp:coreProperties>
</file>

<file path=docProps/custom.xml><?xml version="1.0" encoding="utf-8"?>
<Properties xmlns="http://schemas.openxmlformats.org/officeDocument/2006/custom-properties" xmlns:vt="http://schemas.openxmlformats.org/officeDocument/2006/docPropsVTypes"/>
</file>