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before="0" w:line="360"/>
      </w:pPr>
      <w:r>
        <w:rPr>
          <w:rFonts w:ascii="Times New Roman" w:cs="Times New Roman" w:eastAsia="Times New Roman" w:hAnsi="Times New Roman"/>
          <w:b/>
          <w:bCs/>
          <w:sz w:val="32"/>
          <w:szCs w:val="32"/>
        </w:rPr>
        <w:t xml:space="preserve">Chapter 5: Adaptation Investment Analysis</w:t>
      </w:r>
    </w:p>
    <w:p>
      <w:pPr>
        <w:pStyle w:val="Heading2"/>
        <w:spacing w:after="160" w:before="400" w:line="360"/>
      </w:pPr>
      <w:r>
        <w:rPr>
          <w:rFonts w:ascii="Times New Roman" w:cs="Times New Roman" w:eastAsia="Times New Roman" w:hAnsi="Times New Roman"/>
          <w:b/>
          <w:bCs/>
          <w:sz w:val="26"/>
          <w:szCs w:val="26"/>
        </w:rPr>
        <w:t xml:space="preserve">5.1  Chapter Overview</w:t>
      </w:r>
    </w:p>
    <w:p>
      <w:pPr>
        <w:spacing w:after="160" w:before="0" w:line="360"/>
        <w:jc w:val="both"/>
      </w:pPr>
      <w:r>
        <w:rPr>
          <w:rFonts w:ascii="Times New Roman" w:cs="Times New Roman" w:eastAsia="Times New Roman" w:hAnsi="Times New Roman"/>
          <w:sz w:val="24"/>
          <w:szCs w:val="24"/>
        </w:rPr>
        <w:t xml:space="preserve">This chapter evaluates the economic case for adaptation investment across the ten critical infrastructure sections identified in Chapter 4. For each section, three adaptation options of increasing capital cost and engineering ambition are assessed against the no-adaptation disruption cost baseline established in Pillar 3. The evaluation framework is a savings-based break-even analysis: adaptation is considered economically justified when the cumulative disruption cost avoided exceeds the capital expenditure (CAPEX) required to implement the measure. Break-even years are computed for all ten sections across three IPCC AR6 scenarios (SSP1-2.6, SSP2-4.5, SSP5-8.5) and two model variants (Baseline, +Geoid), providing a full sensitivity envelope for adaptation timing decisions.</w:t>
      </w:r>
    </w:p>
    <w:p>
      <w:pPr>
        <w:spacing w:after="160" w:before="0" w:line="360"/>
        <w:jc w:val="both"/>
      </w:pPr>
      <w:r>
        <w:rPr>
          <w:rFonts w:ascii="Times New Roman" w:cs="Times New Roman" w:eastAsia="Times New Roman" w:hAnsi="Times New Roman"/>
          <w:sz w:val="24"/>
          <w:szCs w:val="24"/>
        </w:rPr>
        <w:t xml:space="preserve">The chapter is structured to follow the same sectoral organisation as Chapter 4: railway sections (5.3), port network (5.4), and road network (5.5), before presenting the aggregate portfolio analysis (5.6) and a net present value (NPV) sensitivity analysis at 0%, 1.4% (Stern), and 3% discount rates (5.7). All adaptation options are assessed in terms of their cost-effectiveness relative to the no-adaptation scenario; the chapter does not evaluate absolute societal or environmental benefits beyond avoided disruption cost. The adaptation CAPEX figures used here are engineering-informed indicative estimates drawn from published coastal protection cost studies and analogous Portuguese infrastructure hardening projects, and should be understood as order-of-magnitude inputs to the break-even framework rather than detailed project costings.</w:t>
      </w:r>
    </w:p>
    <w:p>
      <w:pPr>
        <w:spacing w:after="160" w:before="0" w:line="360"/>
        <w:jc w:val="both"/>
      </w:pPr>
      <w:r>
        <w:rPr>
          <w:rFonts w:ascii="Times New Roman" w:cs="Times New Roman" w:eastAsia="Times New Roman" w:hAnsi="Times New Roman"/>
          <w:sz w:val="24"/>
          <w:szCs w:val="24"/>
        </w:rPr>
        <w:t xml:space="preserve">The headline finding of this chapter is that economically justified adaptation exists for all ten sections under SSP5-8.5, with recommended options collectively requiring a total mid-estimate CAPEX of approximately </w:t>
      </w:r>
      <w:r>
        <w:rPr>
          <w:rFonts w:ascii="Times New Roman" w:cs="Times New Roman" w:eastAsia="Times New Roman" w:hAnsi="Times New Roman"/>
          <w:b/>
          <w:bCs/>
          <w:sz w:val="24"/>
          <w:szCs w:val="24"/>
        </w:rPr>
        <w:t xml:space="preserve">€340 million</w:t>
      </w:r>
      <w:r>
        <w:rPr>
          <w:rFonts w:ascii="Times New Roman" w:cs="Times New Roman" w:eastAsia="Times New Roman" w:hAnsi="Times New Roman"/>
          <w:sz w:val="24"/>
          <w:szCs w:val="24"/>
        </w:rPr>
        <w:t xml:space="preserve"> — compared to the €104.08 billion no-adaptation disruption cost for the nine cost-modelled sections established in Chapter 4. This suggests a strong indicative economic case for adaptation within the study framework, noting that these figures reflect model-derived disruption costs, indicative CAPEX estimates, and assumed adaptation effectiveness.</w:t>
      </w:r>
    </w:p>
    <w:p>
      <w:pPr>
        <w:pStyle w:val="Heading2"/>
        <w:spacing w:after="160" w:before="400" w:line="360"/>
      </w:pPr>
      <w:r>
        <w:rPr>
          <w:rFonts w:ascii="Times New Roman" w:cs="Times New Roman" w:eastAsia="Times New Roman" w:hAnsi="Times New Roman"/>
          <w:b/>
          <w:bCs/>
          <w:sz w:val="26"/>
          <w:szCs w:val="26"/>
        </w:rPr>
        <w:t xml:space="preserve">5.2  Adaptation Framework and Methodology</w:t>
      </w:r>
    </w:p>
    <w:p>
      <w:pPr>
        <w:spacing w:after="160" w:before="0" w:line="360"/>
        <w:jc w:val="both"/>
      </w:pPr>
      <w:r>
        <w:rPr>
          <w:rFonts w:ascii="Times New Roman" w:cs="Times New Roman" w:eastAsia="Times New Roman" w:hAnsi="Times New Roman"/>
          <w:sz w:val="24"/>
          <w:szCs w:val="24"/>
        </w:rPr>
        <w:t xml:space="preserve">The break-even framework follows a savings-based approach. Each section’s adaptation option is assigned a CAPEX expressed as a point estimate with a low/mid/high range reflecting construction cost uncertainty. The CAPEX is treated as a one-time expenditure incurred at the reference year of 2025, representing immediate implementation with no phased investment or construction delay. This assumption is conservative in two respects: first, actual procurement and construction timelines would delay both cost and benefit onset; second, treating CAPEX as entirely upfront maximises the discounted payback burden relative to savings. This simplifying assumption is conservative for discounted payback calculations, though it does not reflect the phased procurement and delivery profile of real infrastructure projects.</w:t>
      </w:r>
    </w:p>
    <w:p>
      <w:pPr>
        <w:spacing w:after="160" w:before="0" w:line="360"/>
        <w:jc w:val="both"/>
      </w:pPr>
      <w:r>
        <w:rPr>
          <w:rFonts w:ascii="Times New Roman" w:cs="Times New Roman" w:eastAsia="Times New Roman" w:hAnsi="Times New Roman"/>
          <w:sz w:val="24"/>
          <w:szCs w:val="24"/>
        </w:rPr>
        <w:t xml:space="preserve">Adaptation savings are defined as the cumulative disruption cost that would have accrued under the no-adaptation scenario but is avoided by the protective measure. For structural options (embankment raising, flood barriers, coastal protection), the measure is assumed to eliminate disruption at the protected section until the SLR level exceeds the design threshold of the intervention; partial disruption may resume thereafter, though within the study horizon (2025–2100) and the maximum scenario SLR of +1.15 m (SSP5-8.5/+Geoid/2100), all structural options modelled here are assumed to remain within their design envelope. For operational options (traffic management protocols, port contingency protocols), the measure reduces disruption duration and frequency per event by an estimated 40–60%, producing a lower but more immediate stream of savings relative to their CAPEX. Avoided-cost estimates throughout this chapter are model-derived counterfactuals based on assumed adaptation effectiveness rather than observed savings from implemented projects; the savings rules defined above should be understood as analytical assumptions, not empirically calibrated causal effects.</w:t>
      </w:r>
    </w:p>
    <w:p>
      <w:pPr>
        <w:spacing w:after="160" w:before="0" w:line="360"/>
        <w:jc w:val="both"/>
      </w:pPr>
      <w:r>
        <w:rPr>
          <w:rFonts w:ascii="Times New Roman" w:cs="Times New Roman" w:eastAsia="Times New Roman" w:hAnsi="Times New Roman"/>
          <w:sz w:val="24"/>
          <w:szCs w:val="24"/>
        </w:rPr>
        <w:t xml:space="preserve">The break-even year is defined as the calendar year in which cumulative avoided disruption cost first equals the CAPEX of the measure, computed annually from 2025 using the compound flood model’s annual cost output for each section. Break-even years are reported for three CAPEX levels (low, mid, high) and three DDR bands (low, mid, high), producing a 3×3 sensitivity matrix per section per scenario. For conciseness, the primary reported figure is the mid-CAPEX, mid-DDR break-even year; sensitivity bounds are noted where material. The no-discounting assumption used throughout Chapters 4 and 5 is relaxed in Section 5.7, where NPV-adjusted break-even years are computed at 1.4% (Stern) and 3% real discount rates. Break-even years in all tables assume the adaptation-effectiveness rules defined in this section and are calculated against the no-adaptation disruption-cost trajectory from Pillar 3.</w:t>
      </w:r>
    </w:p>
    <w:p>
      <w:pPr>
        <w:spacing w:after="160" w:before="0" w:line="360"/>
        <w:jc w:val="both"/>
      </w:pPr>
      <w:r>
        <w:rPr>
          <w:rFonts w:ascii="Times New Roman" w:cs="Times New Roman" w:eastAsia="Times New Roman" w:hAnsi="Times New Roman"/>
          <w:sz w:val="24"/>
          <w:szCs w:val="24"/>
        </w:rPr>
        <w:t xml:space="preserve">Adaptation options are classified into three tiers of engineering ambition, applied consistently across infrastructure types. Option 1 represents a targeted in-situ structural intervention (track elevation, embankment raising, quay flood-proofing, or road carriageway raising) that addresses the immediate flood vulnerability without relocating or fundamentally redesigning the asset. Option 2 represents a higher-order structural or hydrological intervention (flood barriers, coastal protection structures, partial relocation) offering broader and longer-lasting protection at higher CAPEX. Option 3 represents a low-capital operational or demand-management measure (protocol-based disruption management, dynamic traffic rerouting, pre-emptive cargo diversion) that reduces the economic cost of each closure event without preventing the physical flood exposure.</w:t>
      </w:r>
    </w:p>
    <w:p>
      <w:pPr>
        <w:pStyle w:val="Heading2"/>
        <w:spacing w:after="160" w:before="400" w:line="360"/>
      </w:pPr>
      <w:r>
        <w:rPr>
          <w:rFonts w:ascii="Times New Roman" w:cs="Times New Roman" w:eastAsia="Times New Roman" w:hAnsi="Times New Roman"/>
          <w:b/>
          <w:bCs/>
          <w:sz w:val="26"/>
          <w:szCs w:val="26"/>
        </w:rPr>
        <w:t xml:space="preserve">5.3  Railway Network Adaptation</w:t>
      </w:r>
    </w:p>
    <w:p>
      <w:pPr>
        <w:pStyle w:val="Heading3"/>
        <w:spacing w:after="120" w:before="240" w:line="360"/>
      </w:pPr>
      <w:r>
        <w:rPr>
          <w:rFonts w:ascii="Times New Roman" w:cs="Times New Roman" w:eastAsia="Times New Roman" w:hAnsi="Times New Roman"/>
          <w:b/>
          <w:bCs/>
          <w:sz w:val="24"/>
          <w:szCs w:val="24"/>
        </w:rPr>
        <w:t xml:space="preserve">5.3.1  Mondego Section (Alfarelos–Formoselha)</w:t>
      </w:r>
    </w:p>
    <w:p>
      <w:pPr>
        <w:spacing w:after="160" w:before="0" w:line="360"/>
        <w:jc w:val="both"/>
      </w:pPr>
      <w:r>
        <w:rPr>
          <w:rFonts w:ascii="Times New Roman" w:cs="Times New Roman" w:eastAsia="Times New Roman" w:hAnsi="Times New Roman"/>
          <w:sz w:val="24"/>
          <w:szCs w:val="24"/>
        </w:rPr>
        <w:t xml:space="preserve">The Mondego section presents the longest engineering history of any section in this analysis. The 3 km corridor through the Mondego floodplain at approximately 1.0 m MSL has experienced documented periodic inundation since at least the 1980s, and its baseline flood return period of 4 years represents one of the most frequent disruption exposures in the network. The section’s low elevation and high closure frequency mean that even modest SLR translates to a dramatic increase in annual closure days, making it both the most urgent railway section and the one where adaptation savings accumulate fastest.</w:t>
      </w:r>
    </w:p>
    <w:p>
      <w:pPr>
        <w:spacing w:after="160" w:before="0" w:line="360"/>
        <w:jc w:val="both"/>
      </w:pPr>
      <w:r>
        <w:rPr>
          <w:rFonts w:ascii="Times New Roman" w:cs="Times New Roman" w:eastAsia="Times New Roman" w:hAnsi="Times New Roman"/>
          <w:sz w:val="24"/>
          <w:szCs w:val="24"/>
        </w:rPr>
        <w:t xml:space="preserve">Table 5.1 presents the three adaptation options for the Mondego section. Option 1 (in-situ viaduct, 3–5 km) raises the track above the 1-in-100-year flood level using a viaduct structure installed without service interruption; it is the lowest-CAPEX structural option and preserves the existing route alignment. Option 2 (Soure relocation, ~4 km inland) repositions the route onto higher ground east of the Mondego floodplain, eliminating flood exposure entirely but requiring acquisition of a new right-of-way and a longer service disruption during construction. Option 3 (Alfarelos bypass, ~12 km new alignment via Alfarelos) represents a comprehensive route redesign that removes the floodplain exposure altogether and also reduces the Lisbon–Porto journey time by approximately 4 minutes, but at more than double the CAPEX of Option 1.</w:t>
      </w:r>
    </w:p>
    <w:p>
      <w:pPr>
        <w:spacing w:after="160" w:before="0" w:line="360"/>
        <w:jc w:val="both"/>
      </w:pPr>
      <w:r>
        <w:rPr>
          <w:rFonts w:ascii="Times New Roman" w:cs="Times New Roman" w:eastAsia="Times New Roman" w:hAnsi="Times New Roman"/>
          <w:sz w:val="24"/>
          <w:szCs w:val="24"/>
        </w:rPr>
        <w:t xml:space="preserve">Table 5.1: Mondego section adaptation options. Break-even years are mid-CAPEX, mid-DDR. ★ = recommended option.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Option</w:t>
            </w:r>
          </w:p>
        </w:tc>
        <w:tc>
          <w:tcPr>
            <w:tcW w:type="dxa" w:w="23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Description</w:t>
            </w:r>
          </w:p>
        </w:tc>
        <w:tc>
          <w:tcPr>
            <w:tcW w:type="dxa" w:w="15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CAPEX
€M (low/mid/high)</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SSP1-2.6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SSP2-4.5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+Geoid</w:t>
            </w:r>
          </w:p>
        </w:tc>
      </w:tr>
      <w:tr>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Opt 1 ★</w:t>
            </w:r>
          </w:p>
        </w:tc>
        <w:tc>
          <w:tcPr>
            <w:tcW w:type="dxa" w:w="23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In-situ viaduct (3–5 km)</w:t>
            </w:r>
          </w:p>
        </w:tc>
        <w:tc>
          <w:tcPr>
            <w:tcW w:type="dxa" w:w="15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€88/120/155</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2053</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2046</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2042</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2034</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2</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Soure relocation (~4 km)</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€124/176/228</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2060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2045</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2036</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3</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Alfarelos bypass (~12 km)</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€218/319/420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2072</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2058</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2040</w:t>
            </w:r>
          </w:p>
        </w:tc>
      </w:tr>
    </w:tbl>
    <w:p>
      <w:pPr>
        <w:spacing w:after="160" w:before="0" w:line="360"/>
        <w:jc w:val="both"/>
      </w:pPr>
    </w:p>
    <w:p>
      <w:pPr>
        <w:spacing w:after="160" w:before="0" w:line="360"/>
        <w:jc w:val="both"/>
      </w:pPr>
      <w:r>
        <w:rPr>
          <w:rFonts w:ascii="Times New Roman" w:cs="Times New Roman" w:eastAsia="Times New Roman" w:hAnsi="Times New Roman"/>
          <w:sz w:val="24"/>
          <w:szCs w:val="24"/>
        </w:rPr>
        <w:t xml:space="preserve">Option 1 is the recommended measure. Under SSP5-8.5/Baseline, break-even is reached by 2042 (range: 2040–2044), recovering the €120 million mid-CAPEX within 17 years of investment. Under the +Geoid variant, break-even advances to 2034 — just 9 years after the reference investment date. Option 2 offers broadly similar break-even timing at 32–47% higher CAPEX, with no commensurate improvement in protection standard within the study horizon. Option 3’s very high CAPEX (&gt;€218 million) delays break-even significantly relative to Option 1 despite the route efficiency benefit; this co-benefit, while real, falls outside the disruption-savings framework used here and should be evaluated separately in a strategic rail investment appraisal.</w:t>
      </w:r>
    </w:p>
    <w:p>
      <w:pPr>
        <w:pStyle w:val="Heading3"/>
        <w:spacing w:after="120" w:before="240" w:line="360"/>
      </w:pPr>
      <w:r>
        <w:rPr>
          <w:rFonts w:ascii="Times New Roman" w:cs="Times New Roman" w:eastAsia="Times New Roman" w:hAnsi="Times New Roman"/>
          <w:b/>
          <w:bCs/>
          <w:sz w:val="24"/>
          <w:szCs w:val="24"/>
        </w:rPr>
        <w:t xml:space="preserve">5.3.2  Tagus Floodplain Section (Castanheira–Alverca)</w:t>
      </w:r>
    </w:p>
    <w:p>
      <w:pPr>
        <w:spacing w:after="160" w:before="0" w:line="360"/>
        <w:jc w:val="both"/>
      </w:pPr>
      <w:r>
        <w:rPr>
          <w:rFonts w:ascii="Times New Roman" w:cs="Times New Roman" w:eastAsia="Times New Roman" w:hAnsi="Times New Roman"/>
          <w:sz w:val="24"/>
          <w:szCs w:val="24"/>
        </w:rPr>
        <w:t xml:space="preserve">The Tagus floodplain section (km 37–47) presents a different risk profile to the Mondego: its elevation of approximately 2.0 m and baseline return period of 10 years mean that the early period (2025–2040) is relatively low-cost in the no-adaptation scenario, but compound flooding driven by coincident storm surge, elevated river discharge, and spring tides creates a risk of catastrophic multi-week closures that is not captured by the annual return period alone (Fernández-Nóvoa et al., 2024). The section’s proximity to the Lisbon metropolitan area also means that each closure day generates the highest DDR of any railway section (€1,500,000/day), including a €450,000/day suburban commuter component.</w:t>
      </w:r>
    </w:p>
    <w:p>
      <w:pPr>
        <w:spacing w:after="160" w:before="0" w:line="360"/>
        <w:jc w:val="both"/>
      </w:pPr>
      <w:r>
        <w:rPr>
          <w:rFonts w:ascii="Times New Roman" w:cs="Times New Roman" w:eastAsia="Times New Roman" w:hAnsi="Times New Roman"/>
          <w:sz w:val="24"/>
          <w:szCs w:val="24"/>
        </w:rPr>
        <w:t xml:space="preserve">Table 5.2: Tagus floodplain section adaptation options. Break-even years are mid-CAPEX, mid-DDR. ★ = recommended option.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Option</w:t>
            </w:r>
          </w:p>
        </w:tc>
        <w:tc>
          <w:tcPr>
            <w:tcW w:type="dxa" w:w="23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Description</w:t>
            </w:r>
          </w:p>
        </w:tc>
        <w:tc>
          <w:tcPr>
            <w:tcW w:type="dxa" w:w="15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CAPEX
€M (low/mid/high)</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SSP1-2.6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SSP2-4.5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+Geoid</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1</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Embankment raising (1–2 m)</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€40/55/70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2053</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2046</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2042</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2034</w:t>
            </w:r>
          </w:p>
        </w:tc>
      </w:tr>
      <w:tr>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Opt 2 ★</w:t>
            </w:r>
          </w:p>
        </w:tc>
        <w:tc>
          <w:tcPr>
            <w:tcW w:type="dxa" w:w="23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Flood barriers (temporary)</w:t>
            </w:r>
          </w:p>
        </w:tc>
        <w:tc>
          <w:tcPr>
            <w:tcW w:type="dxa" w:w="15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€30/42/55</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2049</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2043</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2040</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2033</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3</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Track relocation (inland)</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€150/215/280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2080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2063</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2053</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2043</w:t>
            </w:r>
          </w:p>
        </w:tc>
      </w:tr>
    </w:tbl>
    <w:p>
      <w:pPr>
        <w:spacing w:after="160" w:before="0" w:line="360"/>
        <w:jc w:val="both"/>
      </w:pPr>
    </w:p>
    <w:p>
      <w:pPr>
        <w:spacing w:after="160" w:before="0" w:line="360"/>
        <w:jc w:val="both"/>
      </w:pPr>
      <w:r>
        <w:rPr>
          <w:rFonts w:ascii="Times New Roman" w:cs="Times New Roman" w:eastAsia="Times New Roman" w:hAnsi="Times New Roman"/>
          <w:sz w:val="24"/>
          <w:szCs w:val="24"/>
        </w:rPr>
        <w:t xml:space="preserve">Option 2 (deployable flood barriers and drainage improvements, €42 million mid-CAPEX) is the recommended measure. It achieves break-even under SSP5-8.5/Baseline in 2040 (range: 2038–2042), two years earlier than the embankment-raising Option 1 at 23% lower CAPEX. The barrier approach also offers the strategic advantage of being compatible with the wider Tagus estuary barrier concept that would simultaneously protect the Port of Lisbon landside infrastructure (Section 5.4.2), representing a significant shared investment opportunity. Option 1 is a viable alternative where the barrier approach proves infeasible for operational reasons. Option 3 involves a major infrastructure relocation (€215 million mid-CAPEX) with a break-even year of 2053 under SSP5-8.5/Baseline — 13 years later than Option 2 at five times the cost, and is not recommended within the scope of this study.</w:t>
      </w:r>
    </w:p>
    <w:p>
      <w:pPr>
        <w:pStyle w:val="Heading3"/>
        <w:spacing w:after="120" w:before="240" w:line="360"/>
      </w:pPr>
      <w:r>
        <w:rPr>
          <w:rFonts w:ascii="Times New Roman" w:cs="Times New Roman" w:eastAsia="Times New Roman" w:hAnsi="Times New Roman"/>
          <w:b/>
          <w:bCs/>
          <w:sz w:val="24"/>
          <w:szCs w:val="24"/>
        </w:rPr>
        <w:t xml:space="preserve">5.3.3  Aveiro Ria Section</w:t>
      </w:r>
    </w:p>
    <w:p>
      <w:pPr>
        <w:spacing w:after="160" w:before="0" w:line="360"/>
        <w:jc w:val="both"/>
      </w:pPr>
      <w:r>
        <w:rPr>
          <w:rFonts w:ascii="Times New Roman" w:cs="Times New Roman" w:eastAsia="Times New Roman" w:hAnsi="Times New Roman"/>
          <w:sz w:val="24"/>
          <w:szCs w:val="24"/>
        </w:rPr>
        <w:t xml:space="preserve">The Aveiro Ria section is both the single largest cost contributor in the Pillar 3 analysis (previously €30.0 billion across both zones; revised to €11.74 billion for Zone A). The Zone A corridor along the Ovar–Estarreja causeway (approximately 1.2 m MSL over a 9 km exposed length) and the binary barrier-breach threshold for Zone B mean that disruption cost accumulates rapidly from the early 2030s under high-emissions scenarios. Zone B, located further south, presents a binary barrier-breach threshold that would theoretically trigger permanent closure from the early 2030s under high-emissions scenarios with the geoid offset; however, Zone B was excluded from the current model scope as its analysis requires dedicated coastal geomorphological modelling of the Barra–Costa Nova barrier system. Of all ten sections, Aveiro presents one of the highest structural CAPEX requirements, reflecting the scale of the coastal protection engineering challenge.</w:t>
      </w:r>
    </w:p>
    <w:p>
      <w:pPr>
        <w:spacing w:after="160" w:before="0" w:line="360"/>
        <w:jc w:val="both"/>
      </w:pPr>
      <w:r>
        <w:rPr>
          <w:rFonts w:ascii="Times New Roman" w:cs="Times New Roman" w:eastAsia="Times New Roman" w:hAnsi="Times New Roman"/>
          <w:sz w:val="24"/>
          <w:szCs w:val="24"/>
        </w:rPr>
        <w:t xml:space="preserve">Table 5.3: Aveiro Ria section (Zone A) adaptation options. Break-even years are mid-CAPEX, mid-DDR. ★ = recommended option.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1500"/>
        <w:gridCol w:w="1100"/>
        <w:gridCol w:w="1100"/>
        <w:gridCol w:w="1100"/>
        <w:gridCol w:w="1100"/>
      </w:tblGrid>
      <w:tr>
        <w:trPr>
          <w:tblHeader/>
        </w:trPr>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Option</w:t>
            </w:r>
          </w:p>
        </w:tc>
        <w:tc>
          <w:tcPr>
            <w:tcW w:type="dxa" w:w="23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Description</w:t>
            </w:r>
          </w:p>
        </w:tc>
        <w:tc>
          <w:tcPr>
            <w:tcW w:type="dxa" w:w="15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CAPEX
€M (low/mid/high)</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SSP1-2.6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SSP2-4.5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+Geoid</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1</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Viaduct on current alignment (Zone A, 9 km)</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€108/144/180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2070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2057</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2040</w:t>
            </w:r>
          </w:p>
        </w:tc>
      </w:tr>
      <w:tr>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Opt 2 ★</w:t>
            </w:r>
          </w:p>
        </w:tc>
        <w:tc>
          <w:tcPr>
            <w:tcW w:type="dxa" w:w="23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Coastal barrier (Barra–Costa Nova system)</w:t>
            </w:r>
          </w:p>
        </w:tc>
        <w:tc>
          <w:tcPr>
            <w:tcW w:type="dxa" w:w="15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€80/110/140</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2065</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2053</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2048</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2038</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3</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Eastern inland bypass (~25 km)</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€280/380/480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2094</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2072</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2059</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2048</w:t>
            </w:r>
          </w:p>
        </w:tc>
      </w:tr>
    </w:tbl>
    <w:p>
      <w:pPr>
        <w:spacing w:after="160" w:before="0" w:line="360"/>
        <w:jc w:val="both"/>
      </w:pPr>
    </w:p>
    <w:p>
      <w:pPr>
        <w:spacing w:after="160" w:before="0" w:line="360"/>
        <w:jc w:val="both"/>
      </w:pPr>
      <w:r>
        <w:rPr>
          <w:rFonts w:ascii="Times New Roman" w:cs="Times New Roman" w:eastAsia="Times New Roman" w:hAnsi="Times New Roman"/>
          <w:sz w:val="24"/>
          <w:szCs w:val="24"/>
        </w:rPr>
        <w:t xml:space="preserve">Option 2 (coastal barrier reinforcement along the Barra–Costa Nova barrier island system, €110 million mid-CAPEX) is the recommended measure on combined cost-effectiveness and engineering grounds. Break-even under SSP5-8.5/Baseline is 2048 (range: 2045–2050), advancing to 2038 under the +Geoid variant. The coastal barrier option is preferred over Option 1 (viaduct on the Zone A causeway, €144 million mid-CAPEX, break-even 2050/2040) on two grounds: first, its CAPEX is €34 million lower while achieving break-even 2 years earlier; second, the coastal barrier provides system-level protection to the Ria de Aveiro lagoon that benefits both the railway causeway and broader coastal infrastructure. Option 1 remains a viable alternative if project sponsors prefer a targeted, causeway-specific structural solution. Option 3 (an entirely new 25 km inland bypass, €380 million mid-CAPEX) achieves break-even by 2059 under SSP5-8.5/Baseline — 11 years later than Option 2 at more than three times the CAPEX — and represents a generational infrastructure project more suited to a long-term Lisbon–Porto high-speed rail programme than a near-term adaptation measure.</w:t>
      </w:r>
    </w:p>
    <w:p>
      <w:pPr>
        <w:pStyle w:val="Heading3"/>
        <w:spacing w:after="120" w:before="240" w:line="360"/>
      </w:pPr>
      <w:r>
        <w:rPr>
          <w:rFonts w:ascii="Times New Roman" w:cs="Times New Roman" w:eastAsia="Times New Roman" w:hAnsi="Times New Roman"/>
          <w:b/>
          <w:bCs/>
          <w:sz w:val="24"/>
          <w:szCs w:val="24"/>
        </w:rPr>
        <w:t xml:space="preserve">5.3.4  Faro–Olhão Section (Ria Formosa Railway)</w:t>
      </w:r>
    </w:p>
    <w:p>
      <w:pPr>
        <w:spacing w:after="160" w:before="0" w:line="360"/>
        <w:jc w:val="both"/>
      </w:pPr>
      <w:r>
        <w:rPr>
          <w:rFonts w:ascii="Times New Roman" w:cs="Times New Roman" w:eastAsia="Times New Roman" w:hAnsi="Times New Roman"/>
          <w:sz w:val="24"/>
          <w:szCs w:val="24"/>
        </w:rPr>
        <w:t xml:space="preserve">The Faro–Olhão section covers approximately 4.9 km of the Algarve railway line that traverses the narrow coastal strip between Faro and Olhão, at a track elevation of 2.341 m MSL. This section is exposed to combined sea-level rise and Ria Formosa lagoon storm surge, with a baseline flood return period of 20 years. The no-adaptation cumulative disruption cost is €0.11 billion — the lowest among the railway sections — reflecting the combination of relatively high track elevation and moderate closure intensity (up to 230 days per year at peak SLR). Despite the modest absolute disruption cost, adaptation remains economically justified under SSP5-8.5 because Option 3's very low CAPEX (€1.0 million mid-estimate) ensures a favourable break-even against a small disruption cost stream. The section sits on a sensitive coastal barrier environment; any structural intervention would require environmental assessment under the Ria Formosa Natural Park designation.</w:t>
      </w:r>
    </w:p>
    <w:p>
      <w:pPr>
        <w:spacing w:after="160" w:before="0" w:line="360"/>
        <w:jc w:val="both"/>
      </w:pPr>
      <w:r>
        <w:rPr>
          <w:rFonts w:ascii="Times New Roman" w:cs="Times New Roman" w:eastAsia="Times New Roman" w:hAnsi="Times New Roman"/>
          <w:sz w:val="24"/>
          <w:szCs w:val="24"/>
        </w:rPr>
        <w:t xml:space="preserve">Table 5.4a presents the three adaptation options for the Faro–Olhão section. Option 1a (track raising to SSP2-4.5 design level) and Option 1b (full reconstruction to SSP5-8.5 design level) both provide structural protection but their higher CAPEXes (€16 million and €25 million mid-estimate respectively) make break-even challenging under all but the highest-emissions scenario. Option 3 (service disruption management protocol — pre-emptive schedule adjustments, passenger diversion to bus, and real-time flood monitoring) achieves break-even much earlier at minimal cost. Table 5.4a: Faro–Olhão section adaptation options. Break-even years are mid-CAPEX, mid-DDR. ★ = recommended option.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1500"/>
        <w:gridCol w:w="1100"/>
        <w:gridCol w:w="1100"/>
        <w:gridCol w:w="1100"/>
        <w:gridCol w:w="1100"/>
      </w:tblGrid>
      <w:tr>
        <w:trPr>
          <w:tblHeader/>
        </w:trPr>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Option</w:t>
            </w:r>
          </w:p>
        </w:tc>
        <w:tc>
          <w:tcPr>
            <w:tcW w:type="dxa" w:w="23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Description</w:t>
            </w:r>
          </w:p>
        </w:tc>
        <w:tc>
          <w:tcPr>
            <w:tcW w:type="dxa" w:w="15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CAPEX
€M (low/mid/high)</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SSP1-2.6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SSP2-4.5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+Geoid</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1a</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Track raising (SSP2-4.5 design level)</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€12/16/20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2101</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2101</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2087</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2075</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1b</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Full reconstruction (SSP5-8.5 design level)</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€19/25/31</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2101</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2101</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2092</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2080</w:t>
            </w:r>
          </w:p>
        </w:tc>
      </w:tr>
      <w:tr>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Opt 3 ★</w:t>
            </w:r>
          </w:p>
        </w:tc>
        <w:tc>
          <w:tcPr>
            <w:tcW w:type="dxa" w:w="23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Service disruption management protocol</w:t>
            </w:r>
          </w:p>
        </w:tc>
        <w:tc>
          <w:tcPr>
            <w:tcW w:type="dxa" w:w="15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€0.7/1.0/1.3</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2095</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2072</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2059</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2048</w:t>
            </w:r>
          </w:p>
        </w:tc>
      </w:tr>
    </w:tbl>
    <w:p>
      <w:pPr>
        <w:spacing w:after="160" w:before="0" w:line="360"/>
        <w:jc w:val="both"/>
      </w:pPr>
    </w:p>
    <w:p>
      <w:pPr>
        <w:spacing w:after="160" w:before="0" w:line="360"/>
        <w:jc w:val="both"/>
      </w:pPr>
      <w:r>
        <w:rPr>
          <w:rFonts w:ascii="Times New Roman" w:cs="Times New Roman" w:eastAsia="Times New Roman" w:hAnsi="Times New Roman"/>
          <w:sz w:val="24"/>
          <w:szCs w:val="24"/>
        </w:rPr>
        <w:t xml:space="preserve">Option 3 (service disruption management protocol, €1.0 million mid-CAPEX) is the recommended measure. It achieves break-even by 2059 under SSP5-8.5/Baseline (range: 2055–2061) and by 2048 under the +Geoid variant. The protocol activates pre-defined passenger bus substitution and timetable diversion when lagoon flood forecasts exceed the 2.341 m track elevation, substantially reducing the economic cost of each closure event. Under SSP1-2.6, structural options do not achieve break-even within the study horizon, confirming that low-CAPEX operational adaptation is the appropriate first investment at this section across all scenarios. The very high CAPEX-to-disruption-cost ratio of structural options (€25 million CAPEX vs €0.11 billion no-adapt cost baseline) underscores why the operational protocol dominates at Faro–Olhão: the disruption cost base is too small to justify structural investment until the SLR trajectory becomes clearer in the 2040s.</w:t>
      </w:r>
    </w:p>
    <w:p>
      <w:pPr>
        <w:pStyle w:val="Heading3"/>
        <w:spacing w:after="120" w:before="240" w:line="360"/>
      </w:pPr>
      <w:r>
        <w:rPr>
          <w:rFonts w:ascii="Times New Roman" w:cs="Times New Roman" w:eastAsia="Times New Roman" w:hAnsi="Times New Roman"/>
          <w:b/>
          <w:bCs/>
          <w:sz w:val="24"/>
          <w:szCs w:val="24"/>
        </w:rPr>
        <w:t xml:space="preserve">5.3.5  Portimão/Arade Section (Algarve Line)</w:t>
      </w:r>
    </w:p>
    <w:p>
      <w:pPr>
        <w:spacing w:after="160" w:before="0" w:line="360"/>
        <w:jc w:val="both"/>
      </w:pPr>
      <w:r>
        <w:rPr>
          <w:rFonts w:ascii="Times New Roman" w:cs="Times New Roman" w:eastAsia="Times New Roman" w:hAnsi="Times New Roman"/>
          <w:sz w:val="24"/>
          <w:szCs w:val="24"/>
        </w:rPr>
        <w:t xml:space="preserve">The Portimão/Arade section covers approximately 1.5 km of the Algarve railway line crossing the Arade estuary at a track elevation of only 0.585 m MSL — the lowest of any section in this study. Its baseline flood return period of 10 years and the current track elevation mean that even modest sea-level rise translates rapidly to near-permanent inundation exposure. Under the compound flood model, this section reaches effectively permanent inundation status (equivalent return period frequency multiplier of 10,000) well before 2100 under SSP5-8.5 and SSP2-4.5/+Geoid scenarios. This places the Portimão/Arade section in a categorically different position from the other nine sections in this analysis: rather than a break-even calculation against avoided disruption cost, the relevant question is whether adaptation investment can restore or preserve the section's operability against climate-driven existential risk.</w:t>
      </w:r>
    </w:p>
    <w:p>
      <w:pPr>
        <w:spacing w:after="160" w:before="0" w:line="360"/>
        <w:jc w:val="both"/>
      </w:pPr>
      <w:r>
        <w:rPr>
          <w:rFonts w:ascii="Times New Roman" w:cs="Times New Roman" w:eastAsia="Times New Roman" w:hAnsi="Times New Roman"/>
          <w:sz w:val="24"/>
          <w:szCs w:val="24"/>
        </w:rPr>
        <w:t xml:space="preserve">Unlike the other nine sections — where adaptation savings are drawn from the disruption cost model — the Portimão/Arade break-even analysis uses a net present value (NPV) framework that values the preserved operation of the rail link against the adaptation CAPEX. The economic basis is the annual passenger revenue and freight throughput value of the Faro–Lagos Algarve line service through the Arade crossing, capitalised over the study horizon. Three adaptation options are assessed. Option A (managed retreat: closure of the existing alignment with terminal reconfiguration at Portimão) is the lowest-cost structural response and represents the minimum-regret choice if the section proves unviable to protect. Option B (short viaduct on current alignment, ~1.5 km) preserves the current route but at higher CAPEX. Option C (full realignment via higher ground) is subject to ongoing feasibility assessment and is not costed in this study. Table 5.4b: Portimão/Arade section adaptation options. Break-even years are mid-CAPEX, mid-discount-rate (NPV basis). ★ = recommended option.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1500"/>
        <w:gridCol w:w="1100"/>
        <w:gridCol w:w="1100"/>
        <w:gridCol w:w="1100"/>
        <w:gridCol w:w="1100"/>
      </w:tblGrid>
      <w:tr>
        <w:trPr>
          <w:tblHeader/>
        </w:trPr>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Option</w:t>
            </w:r>
          </w:p>
        </w:tc>
        <w:tc>
          <w:tcPr>
            <w:tcW w:type="dxa" w:w="23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Description</w:t>
            </w:r>
          </w:p>
        </w:tc>
        <w:tc>
          <w:tcPr>
            <w:tcW w:type="dxa" w:w="15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CAPEX
€M (low/mid/high)</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SSP1-2.6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SSP2-4.5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+Geoid</w:t>
            </w:r>
          </w:p>
        </w:tc>
      </w:tr>
      <w:tr>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Opt A ★</w:t>
            </w:r>
          </w:p>
        </w:tc>
        <w:tc>
          <w:tcPr>
            <w:tcW w:type="dxa" w:w="23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Managed retreat (terminal reconfiguration)</w:t>
            </w:r>
          </w:p>
        </w:tc>
        <w:tc>
          <w:tcPr>
            <w:tcW w:type="dxa" w:w="15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€8.9/11.6/14.2</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2101</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2089</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2080</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2068</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B</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Short viaduct on current alignment (~1.5 km)</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€18/24/30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2101</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2101</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2088</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2076</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C</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Realignment via higher ground (TBD)</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n/a</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w:t>
            </w:r>
          </w:p>
        </w:tc>
      </w:tr>
    </w:tbl>
    <w:p>
      <w:pPr>
        <w:spacing w:after="160" w:before="0" w:line="360"/>
        <w:jc w:val="both"/>
      </w:pPr>
    </w:p>
    <w:p>
      <w:pPr>
        <w:spacing w:after="160" w:before="0" w:line="360"/>
        <w:jc w:val="both"/>
      </w:pPr>
      <w:r>
        <w:rPr>
          <w:rFonts w:ascii="Times New Roman" w:cs="Times New Roman" w:eastAsia="Times New Roman" w:hAnsi="Times New Roman"/>
          <w:sz w:val="24"/>
          <w:szCs w:val="24"/>
        </w:rPr>
        <w:t xml:space="preserve">Option A (managed retreat with terminal reconfiguration, €11.6 million mid-CAPEX) is the recommended measure, achieving break-even by 2080 under SSP5-8.5/Baseline and 2068 under the +Geoid variant (on the NPV basis described above). This is the latest break-even year in the portfolio, reflecting the combination of high uncertainty in the permanence of inundation timing and the relatively small annual economic value of the crossing. Option B (short viaduct, €24 million mid-CAPEX) achieves break-even only by 2088 under SSP5-8.5/Baseline — 8 years later than Option A at twice the CAPEX — and does not achieve break-even under SSP2-4.5/Baseline within the study horizon. Option C (realignment) requires detailed geotechnical and environmental assessment before cost estimates can be established. The Portimão/Arade section is flagged as requiring a dedicated climate risk assessment and operational viability review before 2035, as the compound flood model projects materially increased closure frequency already within the current decade under higher-emissions scenarios.</w:t>
      </w:r>
    </w:p>
    <w:p>
      <w:pPr>
        <w:pStyle w:val="Heading2"/>
        <w:spacing w:after="160" w:before="400" w:line="360"/>
      </w:pPr>
      <w:r>
        <w:rPr>
          <w:rFonts w:ascii="Times New Roman" w:cs="Times New Roman" w:eastAsia="Times New Roman" w:hAnsi="Times New Roman"/>
          <w:b/>
          <w:bCs/>
          <w:sz w:val="26"/>
          <w:szCs w:val="26"/>
        </w:rPr>
        <w:t xml:space="preserve">5.4  Port Network Adaptation</w:t>
      </w:r>
    </w:p>
    <w:p>
      <w:pPr>
        <w:spacing w:after="160" w:before="0" w:line="360"/>
        <w:jc w:val="both"/>
      </w:pPr>
      <w:r>
        <w:rPr>
          <w:rFonts w:ascii="Times New Roman" w:cs="Times New Roman" w:eastAsia="Times New Roman" w:hAnsi="Times New Roman"/>
          <w:sz w:val="24"/>
          <w:szCs w:val="24"/>
        </w:rPr>
        <w:t xml:space="preserve">The three port sections — Leixões, Lisbon, and Setúbal — collectively account for €55.44 billion of the €104.08 billion no-adaptation total. Port adaptation options follow a different engineering logic to railway options: because port disruption is primarily driven by cargo operations being unable to proceed during high-water events, the most cost-effective measures tend to be operational rather than structural. Structural flood-proofing of quay infrastructure (Option 1) and landside resilience investment (Option 2) both offer meaningful protection but carry higher CAPEX relative to their disruption savings than do operational contingency protocol investments (Option 3).</w:t>
      </w:r>
    </w:p>
    <w:p>
      <w:pPr>
        <w:pStyle w:val="Heading3"/>
        <w:spacing w:after="120" w:before="240" w:line="360"/>
      </w:pPr>
      <w:r>
        <w:rPr>
          <w:rFonts w:ascii="Times New Roman" w:cs="Times New Roman" w:eastAsia="Times New Roman" w:hAnsi="Times New Roman"/>
          <w:b/>
          <w:bCs/>
          <w:sz w:val="24"/>
          <w:szCs w:val="24"/>
        </w:rPr>
        <w:t xml:space="preserve">5.4.1  Port of Leixões</w:t>
      </w:r>
    </w:p>
    <w:p>
      <w:pPr>
        <w:spacing w:after="160" w:before="0" w:line="360"/>
        <w:jc w:val="both"/>
      </w:pPr>
      <w:r>
        <w:rPr>
          <w:rFonts w:ascii="Times New Roman" w:cs="Times New Roman" w:eastAsia="Times New Roman" w:hAnsi="Times New Roman"/>
          <w:sz w:val="24"/>
          <w:szCs w:val="24"/>
        </w:rPr>
        <w:t xml:space="preserve">Table 5.4c: Port of Leixões adaptation options. Break-even years are mid-CAPEX, mid-DDR. ★ = recommended option.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Option</w:t>
            </w:r>
          </w:p>
        </w:tc>
        <w:tc>
          <w:tcPr>
            <w:tcW w:type="dxa" w:w="23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Description</w:t>
            </w:r>
          </w:p>
        </w:tc>
        <w:tc>
          <w:tcPr>
            <w:tcW w:type="dxa" w:w="15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CAPEX
€M (low/mid/high)</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SSP1-2.6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SSP2-4.5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+Geoid</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1</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Quay flood-proofing</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€35/47/60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2067</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2054</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2047</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2038</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2</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Landside resilience</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€20/27/35</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2058</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2048</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2043</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2035</w:t>
            </w:r>
          </w:p>
        </w:tc>
      </w:tr>
      <w:tr>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Opt 3 ★</w:t>
            </w:r>
          </w:p>
        </w:tc>
        <w:tc>
          <w:tcPr>
            <w:tcW w:type="dxa" w:w="23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Operational protocol</w:t>
            </w:r>
          </w:p>
        </w:tc>
        <w:tc>
          <w:tcPr>
            <w:tcW w:type="dxa" w:w="15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€10/15/20</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2054</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2047</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2043</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2035</w:t>
            </w:r>
          </w:p>
        </w:tc>
      </w:tr>
    </w:tbl>
    <w:p>
      <w:pPr>
        <w:spacing w:after="160" w:before="0" w:line="360"/>
        <w:jc w:val="both"/>
      </w:pPr>
    </w:p>
    <w:p>
      <w:pPr>
        <w:spacing w:after="160" w:before="0" w:line="360"/>
        <w:jc w:val="both"/>
      </w:pPr>
      <w:r>
        <w:rPr>
          <w:rFonts w:ascii="Times New Roman" w:cs="Times New Roman" w:eastAsia="Times New Roman" w:hAnsi="Times New Roman"/>
          <w:sz w:val="24"/>
          <w:szCs w:val="24"/>
        </w:rPr>
        <w:t xml:space="preserve">Option 3 (operational contingency protocol, €15 million mid-CAPEX) is the recommended measure. It achieves the same break-even year as Option 2 (2043 under SSP5-8.5/Baseline, 2035 under +Geoid) at 44% lower CAPEX. The protocol encompasses pre-positioned cargo diversion agreements with Sines, pre-approved temporary alternative berths at the Rio Douro anchorage, and a real-time tidal alert system for operational scheduling. Leixões’ higher elevation (3.0 m) compared to the Lisbon and Setúbal ports provides an additional buffer that makes structural measures less urgent in the near term, reinforcing the operational protocol as the appropriate first-mover investment. Options 1 and 2 become progressively more valuable as SLR accelerates toward mid-century and should be reviewed at a 10-year horizon.</w:t>
      </w:r>
    </w:p>
    <w:p>
      <w:pPr>
        <w:pStyle w:val="Heading3"/>
        <w:spacing w:after="120" w:before="240" w:line="360"/>
      </w:pPr>
      <w:r>
        <w:rPr>
          <w:rFonts w:ascii="Times New Roman" w:cs="Times New Roman" w:eastAsia="Times New Roman" w:hAnsi="Times New Roman"/>
          <w:b/>
          <w:bCs/>
          <w:sz w:val="24"/>
          <w:szCs w:val="24"/>
        </w:rPr>
        <w:t xml:space="preserve">5.4.2  Port of Lisbon</w:t>
      </w:r>
    </w:p>
    <w:p>
      <w:pPr>
        <w:spacing w:after="160" w:before="0" w:line="360"/>
        <w:jc w:val="both"/>
      </w:pPr>
      <w:r>
        <w:rPr>
          <w:rFonts w:ascii="Times New Roman" w:cs="Times New Roman" w:eastAsia="Times New Roman" w:hAnsi="Times New Roman"/>
          <w:sz w:val="24"/>
          <w:szCs w:val="24"/>
        </w:rPr>
        <w:t xml:space="preserve">Table 5.5: Port of Lisbon adaptation options. Break-even years are mid-CAPEX, mid-DDR. ★ = recommended option.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Option</w:t>
            </w:r>
          </w:p>
        </w:tc>
        <w:tc>
          <w:tcPr>
            <w:tcW w:type="dxa" w:w="23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Description</w:t>
            </w:r>
          </w:p>
        </w:tc>
        <w:tc>
          <w:tcPr>
            <w:tcW w:type="dxa" w:w="15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CAPEX
€M (low/mid/high)</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SSP1-2.6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SSP2-4.5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+Geoid</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1</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Quay flood-proofing</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€30/40/50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2047</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2041</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2038</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2031</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2</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Landside resilience</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€25/35/45</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2046</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2037</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2030</w:t>
            </w:r>
          </w:p>
        </w:tc>
      </w:tr>
      <w:tr>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Opt 3 ★</w:t>
            </w:r>
          </w:p>
        </w:tc>
        <w:tc>
          <w:tcPr>
            <w:tcW w:type="dxa" w:w="23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Operational protocol</w:t>
            </w:r>
          </w:p>
        </w:tc>
        <w:tc>
          <w:tcPr>
            <w:tcW w:type="dxa" w:w="15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€12/17/22</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2040</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2037</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2035</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2030</w:t>
            </w:r>
          </w:p>
        </w:tc>
      </w:tr>
    </w:tbl>
    <w:p>
      <w:pPr>
        <w:spacing w:after="160" w:before="0" w:line="360"/>
        <w:jc w:val="both"/>
      </w:pPr>
    </w:p>
    <w:p>
      <w:pPr>
        <w:spacing w:after="160" w:before="0" w:line="360"/>
        <w:jc w:val="both"/>
      </w:pPr>
      <w:r>
        <w:rPr>
          <w:rFonts w:ascii="Times New Roman" w:cs="Times New Roman" w:eastAsia="Times New Roman" w:hAnsi="Times New Roman"/>
          <w:sz w:val="24"/>
          <w:szCs w:val="24"/>
        </w:rPr>
        <w:t xml:space="preserve">Option 3 (operational protocol, €17 million mid-CAPEX) is the recommended first-step measure, achieving break-even by 2035 under SSP5-8.5/Baseline (range: 2033–2036) and 2030 under +Geoid — just five years after the reference investment date under the geoid-adjusted trajectory. The Port of Lisbon is the largest single port disruption cost contributor in the analysis (€27.28 billion), and the €17 million required for Option 3 is a very small fraction of the cumulative disruption cost it is designed to partially avoid. Options 1 and 2 both achieve break-even by 2037–2038 under SSP5-8.5/Baseline at CAPEX of €35–40 million; these should be considered as a follow-on tranche of investment after the protocol is in place. Importantly, the Tagus flood barrier programme evaluated for the Tagus railway section would simultaneously provide significant protection to the Port of Lisbon landside infrastructure, representing a shared investment opportunity with a combined benefit pool spanning both sections.</w:t>
      </w:r>
    </w:p>
    <w:p>
      <w:pPr>
        <w:pStyle w:val="Heading3"/>
        <w:spacing w:after="120" w:before="240" w:line="360"/>
      </w:pPr>
      <w:r>
        <w:rPr>
          <w:rFonts w:ascii="Times New Roman" w:cs="Times New Roman" w:eastAsia="Times New Roman" w:hAnsi="Times New Roman"/>
          <w:b/>
          <w:bCs/>
          <w:sz w:val="24"/>
          <w:szCs w:val="24"/>
        </w:rPr>
        <w:t xml:space="preserve">5.4.3  Port of Setúbal</w:t>
      </w:r>
    </w:p>
    <w:p>
      <w:pPr>
        <w:spacing w:after="160" w:before="0" w:line="360"/>
        <w:jc w:val="both"/>
      </w:pPr>
      <w:r>
        <w:rPr>
          <w:rFonts w:ascii="Times New Roman" w:cs="Times New Roman" w:eastAsia="Times New Roman" w:hAnsi="Times New Roman"/>
          <w:sz w:val="24"/>
          <w:szCs w:val="24"/>
        </w:rPr>
        <w:t xml:space="preserve">Table 5.6: Port of Setúbal adaptation options. Break-even years are mid-CAPEX, mid-DDR. ★ = recommended option.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Option</w:t>
            </w:r>
          </w:p>
        </w:tc>
        <w:tc>
          <w:tcPr>
            <w:tcW w:type="dxa" w:w="23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Description</w:t>
            </w:r>
          </w:p>
        </w:tc>
        <w:tc>
          <w:tcPr>
            <w:tcW w:type="dxa" w:w="15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CAPEX
€M (low/mid/high)</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SSP1-2.6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SSP2-4.5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+Geoid</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1</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Quay flood-proofing</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€20/30/40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2049</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2043</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2039</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2032</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2</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Landside resilience</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€15/22/30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2046</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2041</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2037</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2031</w:t>
            </w:r>
          </w:p>
        </w:tc>
      </w:tr>
      <w:tr>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Opt 3 ★</w:t>
            </w:r>
          </w:p>
        </w:tc>
        <w:tc>
          <w:tcPr>
            <w:tcW w:type="dxa" w:w="23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Operational protocol</w:t>
            </w:r>
          </w:p>
        </w:tc>
        <w:tc>
          <w:tcPr>
            <w:tcW w:type="dxa" w:w="15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€8/11/15</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2041</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2038</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2036</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2030</w:t>
            </w:r>
          </w:p>
        </w:tc>
      </w:tr>
    </w:tbl>
    <w:p>
      <w:pPr>
        <w:spacing w:after="160" w:before="0" w:line="360"/>
        <w:jc w:val="both"/>
      </w:pPr>
    </w:p>
    <w:p>
      <w:pPr>
        <w:spacing w:after="160" w:before="0" w:line="360"/>
        <w:jc w:val="both"/>
      </w:pPr>
      <w:r>
        <w:t>Option 3 (operational protocol, €11 million mid-CAPEX) is the recommended measure, achieving break-even by 2036 under SSP5-8.5/Baseline (range: 2033–2037) and 2030 under +Geoid. The Setúbal port presents a particularly acute JIT (just-in-time) risk because AutoEuropa’s vehicle export supply chain operates on narrow inventory buffers; a single multi-day closure can cascade into production-line shutdowns at the Volkswagen Palmela plant. The operational protocol should therefore include explicit provisions for JIT cargo pre-positioning and alternative short-sea shipping routes from Sines for light-vehicle exports. As with Leixões, Options 1 and 2 become increasingly attractive beyond mid-century and should be evaluated at a rolling 10-year horizon as part of the Sado estuary port authority’s asset management cycle.</w:t>
      </w:r>
    </w:p>
    <w:p>
      <w:pPr>
        <w:pStyle w:val="Heading2"/>
        <w:spacing w:after="160" w:before="400" w:line="360"/>
      </w:pPr>
      <w:r>
        <w:rPr>
          <w:rFonts w:ascii="Times New Roman" w:cs="Times New Roman" w:eastAsia="Times New Roman" w:hAnsi="Times New Roman"/>
          <w:b/>
          <w:bCs/>
          <w:sz w:val="26"/>
          <w:szCs w:val="26"/>
        </w:rPr>
        <w:t xml:space="preserve">5.5  Road Network Adaptation</w:t>
      </w:r>
    </w:p>
    <w:p>
      <w:pPr>
        <w:pStyle w:val="Heading3"/>
        <w:spacing w:after="120" w:before="240" w:line="360"/>
      </w:pPr>
      <w:r>
        <w:rPr>
          <w:rFonts w:ascii="Times New Roman" w:cs="Times New Roman" w:eastAsia="Times New Roman" w:hAnsi="Times New Roman"/>
          <w:b/>
          <w:bCs/>
          <w:sz w:val="24"/>
          <w:szCs w:val="24"/>
        </w:rPr>
        <w:t xml:space="preserve">5.5.1  A14 Mondego Crossing</w:t>
      </w:r>
    </w:p>
    <w:p>
      <w:pPr>
        <w:spacing w:after="160" w:before="0" w:line="360"/>
        <w:jc w:val="both"/>
      </w:pPr>
      <w:r>
        <w:rPr>
          <w:rFonts w:ascii="Times New Roman" w:cs="Times New Roman" w:eastAsia="Times New Roman" w:hAnsi="Times New Roman"/>
          <w:sz w:val="24"/>
          <w:szCs w:val="24"/>
        </w:rPr>
        <w:t xml:space="preserve">Table 5.7: A14 Mondego crossing adaptation options. Break-even years are mid-CAPEX, mid-DDR. ★ = recommended option.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1500"/>
        <w:gridCol w:w="1100"/>
        <w:gridCol w:w="1100"/>
        <w:gridCol w:w="1100"/>
        <w:gridCol w:w="1100"/>
      </w:tblGrid>
      <w:tr>
        <w:trPr>
          <w:tblHeader/>
        </w:trPr>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Option</w:t>
            </w:r>
          </w:p>
        </w:tc>
        <w:tc>
          <w:tcPr>
            <w:tcW w:type="dxa" w:w="23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Description</w:t>
            </w:r>
          </w:p>
        </w:tc>
        <w:tc>
          <w:tcPr>
            <w:tcW w:type="dxa" w:w="15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CAPEX
€M (low/mid/high)</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SSP1-2.6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SSP2-4.5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+Geoid</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1</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Elevated carriageway (SSP2-4.5 design level)</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€165/220/275</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2101</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2091</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2069</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2057</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2</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Flood barriers and drainage upgrade</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€40/54/67</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2087</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2067</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2056</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2045</w:t>
            </w:r>
          </w:p>
        </w:tc>
      </w:tr>
      <w:tr>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Opt 3 ★</w:t>
            </w:r>
          </w:p>
        </w:tc>
        <w:tc>
          <w:tcPr>
            <w:tcW w:type="dxa" w:w="23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Dynamic traffic management protocol</w:t>
            </w:r>
          </w:p>
        </w:tc>
        <w:tc>
          <w:tcPr>
            <w:tcW w:type="dxa" w:w="15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€2.7/3.9/5.0</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2039</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2036</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2034</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2029</w:t>
            </w:r>
          </w:p>
        </w:tc>
      </w:tr>
    </w:tbl>
    <w:p>
      <w:pPr>
        <w:spacing w:after="160" w:before="0" w:line="360"/>
        <w:jc w:val="both"/>
      </w:pPr>
    </w:p>
    <w:p>
      <w:pPr>
        <w:spacing w:after="160" w:before="0" w:line="360"/>
        <w:jc w:val="both"/>
      </w:pPr>
      <w:r>
        <w:rPr>
          <w:rFonts w:ascii="Times New Roman" w:cs="Times New Roman" w:eastAsia="Times New Roman" w:hAnsi="Times New Roman"/>
          <w:sz w:val="24"/>
          <w:szCs w:val="24"/>
        </w:rPr>
        <w:t xml:space="preserve">Option 3 (dynamic traffic management protocol, €3.9 million mid-CAPEX) is the recommended measure, achieving break-even by 2034 under SSP5-8.5/Baseline (range: 2032–2036) and 2029 under the +Geoid variant — the earliest break-even year in the portfolio. The A14 Mondego crossing (km 37 area of the A14 motorway) is exposed to fluvial-tidal flooding via the Mondego estuary: rising sea levels constrain Mondego river drainage, elevating flood frequency on the low-lying crossing. The protocol pre-activates A14 closure and coordinates with IC3 and EN342 for traffic diversion when Mondego estuary flood forecasts exceed the 2.38 m carriageway threshold. At €3.9 million mid-CAPEX, it is one of the cheapest recommended options across all ten sections. Option 2 (flood barriers and drainage upgrade, €54 million) achieves break-even by 2056 under SSP5-8.5/Baseline — 22 years later than Option 3 at fourteen times the CAPEX — and is not recommended as a first investment. Option 1 (elevated carriageway, €220 million) does not achieve break-even until 2069 under SSP5-8.5/Baseline and represents a long-term asset management commitment rather than a near-term adaptation measure.</w:t>
      </w:r>
    </w:p>
    <w:p>
      <w:pPr>
        <w:pStyle w:val="Heading3"/>
        <w:spacing w:after="120" w:before="240" w:line="360"/>
      </w:pPr>
      <w:r>
        <w:rPr>
          <w:rFonts w:ascii="Times New Roman" w:cs="Times New Roman" w:eastAsia="Times New Roman" w:hAnsi="Times New Roman"/>
          <w:b/>
          <w:bCs/>
          <w:sz w:val="24"/>
          <w:szCs w:val="24"/>
        </w:rPr>
        <w:t xml:space="preserve">5.5.2  A1 Motorway Azambuja Sector</w:t>
      </w:r>
    </w:p>
    <w:p>
      <w:pPr>
        <w:spacing w:after="160" w:before="0" w:line="360"/>
        <w:jc w:val="both"/>
      </w:pPr>
      <w:r>
        <w:rPr>
          <w:rFonts w:ascii="Times New Roman" w:cs="Times New Roman" w:eastAsia="Times New Roman" w:hAnsi="Times New Roman"/>
          <w:sz w:val="24"/>
          <w:szCs w:val="24"/>
        </w:rPr>
        <w:t xml:space="preserve">The A1 Azambuja sector provides the clearest illustration in this study of why low-CAPEX operational options often dominate high-CAPEX structural options in the early decades of adaptation planning. The section’s higher crown elevation (2.50 m MSL) and longer baseline return period (RP₀ = 20 years) mean that significant disruption does not materialise until the 2040s under SSP5-8.5/Baseline. In this environment, spending €240 million on carriageway raising today to protect against disruption that will only become material in 20–25 years is significantly less cost-effective than a €6 million traffic management investment that captures the same avoided disruption cost stream much sooner in absolute terms.</w:t>
      </w:r>
    </w:p>
    <w:p>
      <w:pPr>
        <w:spacing w:after="160" w:before="0" w:line="360"/>
        <w:jc w:val="both"/>
      </w:pPr>
      <w:r>
        <w:rPr>
          <w:rFonts w:ascii="Times New Roman" w:cs="Times New Roman" w:eastAsia="Times New Roman" w:hAnsi="Times New Roman"/>
          <w:sz w:val="24"/>
          <w:szCs w:val="24"/>
        </w:rPr>
        <w:t xml:space="preserve">Table 5.8: A1 Motorway Azambuja sector adaptation options. Break-even years are mid-CAPEX, mid-DDR. ★ = recommended option.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1500"/>
        <w:gridCol w:w="1100"/>
        <w:gridCol w:w="1100"/>
        <w:gridCol w:w="1100"/>
        <w:gridCol w:w="1100"/>
      </w:tblGrid>
      <w:tr>
        <w:trPr>
          <w:tblHeader/>
        </w:trPr>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Option</w:t>
            </w:r>
          </w:p>
        </w:tc>
        <w:tc>
          <w:tcPr>
            <w:tcW w:type="dxa" w:w="23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Description</w:t>
            </w:r>
          </w:p>
        </w:tc>
        <w:tc>
          <w:tcPr>
            <w:tcW w:type="dxa" w:w="15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CAPEX
€M (low/mid/high)</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SSP1-2.6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SSP2-4.5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Baseline</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+Geoid</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1</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Carriageway raising and reconstruction</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€180/240/300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2101</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2099</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2073</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2061</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Opt 2</w:t>
            </w:r>
          </w:p>
        </w:tc>
        <w:tc>
          <w:tcPr>
            <w:tcW w:type="dxa" w:w="2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Flood barriers and drainage upgrade</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€44/58/73</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2098</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2075</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2060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2049</w:t>
            </w:r>
          </w:p>
        </w:tc>
      </w:tr>
      <w:tr>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Opt 3 ★</w:t>
            </w:r>
          </w:p>
        </w:tc>
        <w:tc>
          <w:tcPr>
            <w:tcW w:type="dxa" w:w="23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Dynamic traffic management protocol</w:t>
            </w:r>
          </w:p>
        </w:tc>
        <w:tc>
          <w:tcPr>
            <w:tcW w:type="dxa" w:w="15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€4.2/6.0/7.8</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2049</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2043</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2040</w:t>
            </w:r>
          </w:p>
        </w:tc>
        <w:tc>
          <w:tcPr>
            <w:tcW w:type="dxa" w:w="1100"/>
            <w:gridSpan w:val="1"/>
            <w:tcBorders>
              <w:top w:val="single" w:color="999999" w:sz="4"/>
              <w:left w:val="single" w:color="999999" w:sz="4"/>
              <w:bottom w:val="single" w:color="999999" w:sz="4"/>
              <w:right w:val="single" w:color="999999" w:sz="4"/>
            </w:tcBorders>
            <w:shd w:fill="E8F5E9" w:color="E8F5E9"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2032</w:t>
            </w:r>
          </w:p>
        </w:tc>
      </w:tr>
    </w:tbl>
    <w:p>
      <w:pPr>
        <w:spacing w:after="160" w:before="0" w:line="360"/>
        <w:jc w:val="both"/>
      </w:pPr>
    </w:p>
    <w:p>
      <w:pPr>
        <w:spacing w:after="160" w:before="0" w:line="360"/>
        <w:jc w:val="both"/>
      </w:pPr>
      <w:r>
        <w:rPr>
          <w:rFonts w:ascii="Times New Roman" w:cs="Times New Roman" w:eastAsia="Times New Roman" w:hAnsi="Times New Roman"/>
          <w:sz w:val="24"/>
          <w:szCs w:val="24"/>
        </w:rPr>
        <w:t xml:space="preserve">Option 3 (dynamic traffic management protocol, €6.0 million mid-CAPEX) is the recommended measure on cost-effectiveness grounds, achieving break-even by 2040 under SSP5-8.5/Baseline (range: 2037–2041) — 33 years earlier than Option 1 (2073) and at 1/40 of the CAPEX. The protocol coordinates with CCDR LVT and the Azambuja municipal authority to pre-activate A9 and A2 diversionary routing when the Tagus floodplain forecast exceeds the A1's 2.50 m threshold level, and includes HGV pre-clearance from the Azambuja logistics hub. Under SSP1-2.6, Options 1 and 2 do not achieve break-even within the study horizon (2101 and 2098 respectively), while Option 3 achieves break-even by 2049 — confirming that under lower-emissions futures, structural intervention at this section is not economically justified within the study horizon. Option 1 (carriageway raising) should be placed in a long-term asset management review for the post-2060 horizon, contingent on SLR trajectory updates.</w:t>
      </w:r>
    </w:p>
    <w:p>
      <w:pPr>
        <w:pStyle w:val="Heading2"/>
        <w:spacing w:after="160" w:before="400" w:line="360"/>
      </w:pPr>
      <w:r>
        <w:rPr>
          <w:rFonts w:ascii="Times New Roman" w:cs="Times New Roman" w:eastAsia="Times New Roman" w:hAnsi="Times New Roman"/>
          <w:b/>
          <w:bCs/>
          <w:sz w:val="26"/>
          <w:szCs w:val="26"/>
        </w:rPr>
        <w:t xml:space="preserve">5.6  Aggregate Adaptation Portfolio</w:t>
      </w:r>
    </w:p>
    <w:p>
      <w:pPr>
        <w:spacing w:after="160" w:before="0" w:line="360"/>
        <w:jc w:val="both"/>
      </w:pPr>
      <w:r>
        <w:rPr>
          <w:rFonts w:ascii="Times New Roman" w:cs="Times New Roman" w:eastAsia="Times New Roman" w:hAnsi="Times New Roman"/>
          <w:sz w:val="24"/>
          <w:szCs w:val="24"/>
        </w:rPr>
        <w:t xml:space="preserve">Table 5.9 summarises the recommended adaptation option for each of the ten sections, together with the CAPEX (mid estimate), the break-even year under SSP5-8.5/Baseline and SSP5-8.5/+Geoid, and the no-adaptation cumulative disruption cost from Chapter 4. The recommended portfolio has a total mid-estimate CAPEX of </w:t>
      </w:r>
      <w:r>
        <w:rPr>
          <w:rFonts w:ascii="Times New Roman" w:cs="Times New Roman" w:eastAsia="Times New Roman" w:hAnsi="Times New Roman"/>
          <w:b/>
          <w:bCs/>
          <w:sz w:val="24"/>
          <w:szCs w:val="24"/>
        </w:rPr>
        <w:t xml:space="preserve">€340 million</w:t>
      </w:r>
      <w:r>
        <w:rPr>
          <w:rFonts w:ascii="Times New Roman" w:cs="Times New Roman" w:eastAsia="Times New Roman" w:hAnsi="Times New Roman"/>
          <w:sz w:val="24"/>
          <w:szCs w:val="24"/>
        </w:rPr>
        <w:t xml:space="preserve"> (low: €240 million; high: €445 million), compared to a no-adaptation disruption cost of €104.08 billion for the nine costed sections — a 306:1 ratio of potential savings to investment cost at the midpoint estimate. The Portimão/Arade section is assessed on an NPV basis (see §5.3.5) and its €11.6 million CAPEX is included in the portfolio total but its no-adaptation cost is not included in the €104.08 billion aggregate.</w:t>
      </w:r>
    </w:p>
    <w:p>
      <w:pPr>
        <w:spacing w:after="160" w:before="0" w:line="360"/>
        <w:jc w:val="both"/>
      </w:pPr>
      <w:r>
        <w:rPr>
          <w:rFonts w:ascii="Times New Roman" w:cs="Times New Roman" w:eastAsia="Times New Roman" w:hAnsi="Times New Roman"/>
          <w:sz w:val="24"/>
          <w:szCs w:val="24"/>
        </w:rPr>
        <w:t xml:space="preserve">Table 5.9: Recommended adaptation portfolio summary. Cumulative no-adapt cost from Chapter 4 (SSP5-8.5/Baseline/mid). Break-even years are mid-CAPEX, mid-DDR.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2000"/>
        <w:gridCol w:w="900"/>
        <w:gridCol w:w="1000"/>
        <w:gridCol w:w="1200"/>
        <w:gridCol w:w="1300"/>
      </w:tblGrid>
      <w:tr>
        <w:trPr>
          <w:tblHeader/>
        </w:trPr>
        <w:tc>
          <w:tcPr>
            <w:tcW w:type="dxa" w:w="17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0"/>
                <w:szCs w:val="20"/>
              </w:rPr>
              <w:t xml:space="preserve">Section</w:t>
            </w:r>
          </w:p>
        </w:tc>
        <w:tc>
          <w:tcPr>
            <w:tcW w:type="dxa" w:w="9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0"/>
                <w:szCs w:val="20"/>
              </w:rPr>
              <w:t xml:space="preserve">Type</w:t>
            </w:r>
          </w:p>
        </w:tc>
        <w:tc>
          <w:tcPr>
            <w:tcW w:type="dxa" w:w="20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0"/>
                <w:szCs w:val="20"/>
              </w:rPr>
              <w:t xml:space="preserve">Recommended
Option</w:t>
            </w:r>
          </w:p>
        </w:tc>
        <w:tc>
          <w:tcPr>
            <w:tcW w:type="dxa" w:w="9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0"/>
                <w:szCs w:val="20"/>
              </w:rPr>
              <w:t xml:space="preserve">CAPEX
mid (€M)</w:t>
            </w:r>
          </w:p>
        </w:tc>
        <w:tc>
          <w:tcPr>
            <w:tcW w:type="dxa" w:w="10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0"/>
                <w:szCs w:val="20"/>
              </w:rPr>
              <w:t xml:space="preserve">No-adapt
cost (€bn)</w:t>
            </w:r>
          </w:p>
        </w:tc>
        <w:tc>
          <w:tcPr>
            <w:tcW w:type="dxa" w:w="12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0"/>
                <w:szCs w:val="20"/>
              </w:rPr>
              <w:t xml:space="preserve">BE
SSP5-8.5</w:t>
            </w:r>
          </w:p>
        </w:tc>
        <w:tc>
          <w:tcPr>
            <w:tcW w:type="dxa" w:w="13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0"/>
                <w:szCs w:val="20"/>
              </w:rPr>
              <w:t xml:space="preserve">BE
+Geoid</w:t>
            </w:r>
          </w:p>
        </w:tc>
      </w:tr>
      <w:tr>
        <w:tc>
          <w:tcPr>
            <w:tcW w:type="dxa" w:w="17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A14 Mondego</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Road</w:t>
            </w:r>
          </w:p>
        </w:tc>
        <w:tc>
          <w:tcPr>
            <w:tcW w:type="dxa" w:w="2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3: Traffic mgmt</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4</w:t>
            </w:r>
          </w:p>
        </w:tc>
        <w:tc>
          <w:tcPr>
            <w:tcW w:type="dxa" w:w="1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5.59</w:t>
            </w:r>
          </w:p>
        </w:tc>
        <w:tc>
          <w:tcPr>
            <w:tcW w:type="dxa" w:w="1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2034</w:t>
            </w:r>
          </w:p>
        </w:tc>
        <w:tc>
          <w:tcPr>
            <w:tcW w:type="dxa" w:w="13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2029</w:t>
            </w:r>
          </w:p>
        </w:tc>
      </w:tr>
      <w:tr>
        <w:tc>
          <w:tcPr>
            <w:tcW w:type="dxa" w:w="17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Port of Lisbon</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Port</w:t>
            </w:r>
          </w:p>
        </w:tc>
        <w:tc>
          <w:tcPr>
            <w:tcW w:type="dxa" w:w="2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3: Operational protocol</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17</w:t>
            </w:r>
          </w:p>
        </w:tc>
        <w:tc>
          <w:tcPr>
            <w:tcW w:type="dxa" w:w="1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27.28</w:t>
            </w:r>
          </w:p>
        </w:tc>
        <w:tc>
          <w:tcPr>
            <w:tcW w:type="dxa" w:w="1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2035</w:t>
            </w:r>
          </w:p>
        </w:tc>
        <w:tc>
          <w:tcPr>
            <w:tcW w:type="dxa" w:w="13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2030</w:t>
            </w:r>
          </w:p>
        </w:tc>
      </w:tr>
      <w:tr>
        <w:tc>
          <w:tcPr>
            <w:tcW w:type="dxa" w:w="17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Port of Setúbal</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Port</w:t>
            </w:r>
          </w:p>
        </w:tc>
        <w:tc>
          <w:tcPr>
            <w:tcW w:type="dxa" w:w="2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3: Operational protocol</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12</w:t>
            </w:r>
          </w:p>
        </w:tc>
        <w:tc>
          <w:tcPr>
            <w:tcW w:type="dxa" w:w="1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17.69</w:t>
            </w:r>
          </w:p>
        </w:tc>
        <w:tc>
          <w:tcPr>
            <w:tcW w:type="dxa" w:w="1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2036</w:t>
            </w:r>
          </w:p>
        </w:tc>
        <w:tc>
          <w:tcPr>
            <w:tcW w:type="dxa" w:w="13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2030</w:t>
            </w:r>
          </w:p>
        </w:tc>
      </w:tr>
      <w:tr>
        <w:tc>
          <w:tcPr>
            <w:tcW w:type="dxa" w:w="17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A1 Azambuja</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Road</w:t>
            </w:r>
          </w:p>
        </w:tc>
        <w:tc>
          <w:tcPr>
            <w:tcW w:type="dxa" w:w="2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3: Traffic mgmt</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6</w:t>
            </w:r>
          </w:p>
        </w:tc>
        <w:tc>
          <w:tcPr>
            <w:tcW w:type="dxa" w:w="1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6.20</w:t>
            </w:r>
          </w:p>
        </w:tc>
        <w:tc>
          <w:tcPr>
            <w:tcW w:type="dxa" w:w="1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2040</w:t>
            </w:r>
          </w:p>
        </w:tc>
        <w:tc>
          <w:tcPr>
            <w:tcW w:type="dxa" w:w="13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2032</w:t>
            </w:r>
          </w:p>
        </w:tc>
      </w:tr>
      <w:tr>
        <w:tc>
          <w:tcPr>
            <w:tcW w:type="dxa" w:w="17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Mondego</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Railway</w:t>
            </w:r>
          </w:p>
        </w:tc>
        <w:tc>
          <w:tcPr>
            <w:tcW w:type="dxa" w:w="2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1: In-situ viaduct</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120</w:t>
            </w:r>
          </w:p>
        </w:tc>
        <w:tc>
          <w:tcPr>
            <w:tcW w:type="dxa" w:w="1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13.31</w:t>
            </w:r>
          </w:p>
        </w:tc>
        <w:tc>
          <w:tcPr>
            <w:tcW w:type="dxa" w:w="1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2042</w:t>
            </w:r>
          </w:p>
        </w:tc>
        <w:tc>
          <w:tcPr>
            <w:tcW w:type="dxa" w:w="13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2034</w:t>
            </w:r>
          </w:p>
        </w:tc>
      </w:tr>
      <w:tr>
        <w:tc>
          <w:tcPr>
            <w:tcW w:type="dxa" w:w="17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Tagus floodplain</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Railway</w:t>
            </w:r>
          </w:p>
        </w:tc>
        <w:tc>
          <w:tcPr>
            <w:tcW w:type="dxa" w:w="2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2: Flood barriers</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42</w:t>
            </w:r>
          </w:p>
        </w:tc>
        <w:tc>
          <w:tcPr>
            <w:tcW w:type="dxa" w:w="1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11.69</w:t>
            </w:r>
          </w:p>
        </w:tc>
        <w:tc>
          <w:tcPr>
            <w:tcW w:type="dxa" w:w="1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2042</w:t>
            </w:r>
          </w:p>
        </w:tc>
        <w:tc>
          <w:tcPr>
            <w:tcW w:type="dxa" w:w="13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2034</w:t>
            </w:r>
          </w:p>
        </w:tc>
      </w:tr>
      <w:tr>
        <w:tc>
          <w:tcPr>
            <w:tcW w:type="dxa" w:w="17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Port of Leixões</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Port</w:t>
            </w:r>
          </w:p>
        </w:tc>
        <w:tc>
          <w:tcPr>
            <w:tcW w:type="dxa" w:w="2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3: Operational protocol</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15</w:t>
            </w:r>
          </w:p>
        </w:tc>
        <w:tc>
          <w:tcPr>
            <w:tcW w:type="dxa" w:w="1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10.47</w:t>
            </w:r>
          </w:p>
        </w:tc>
        <w:tc>
          <w:tcPr>
            <w:tcW w:type="dxa" w:w="1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2043</w:t>
            </w:r>
          </w:p>
        </w:tc>
        <w:tc>
          <w:tcPr>
            <w:tcW w:type="dxa" w:w="13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2035</w:t>
            </w:r>
          </w:p>
        </w:tc>
      </w:tr>
      <w:tr>
        <w:tc>
          <w:tcPr>
            <w:tcW w:type="dxa" w:w="17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Aveiro Ria</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Railway</w:t>
            </w:r>
          </w:p>
        </w:tc>
        <w:tc>
          <w:tcPr>
            <w:tcW w:type="dxa" w:w="2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2: Coastal barrier</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110</w:t>
            </w:r>
          </w:p>
        </w:tc>
        <w:tc>
          <w:tcPr>
            <w:tcW w:type="dxa" w:w="1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11.74</w:t>
            </w:r>
          </w:p>
        </w:tc>
        <w:tc>
          <w:tcPr>
            <w:tcW w:type="dxa" w:w="1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2048</w:t>
            </w:r>
          </w:p>
        </w:tc>
        <w:tc>
          <w:tcPr>
            <w:tcW w:type="dxa" w:w="13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2038</w:t>
            </w:r>
          </w:p>
        </w:tc>
      </w:tr>
      <w:tr>
        <w:tc>
          <w:tcPr>
            <w:tcW w:type="dxa" w:w="17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Faro–Olhão</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Railway</w:t>
            </w:r>
          </w:p>
        </w:tc>
        <w:tc>
          <w:tcPr>
            <w:tcW w:type="dxa" w:w="2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3: Traffic mgmt</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w:t>
            </w:r>
          </w:p>
        </w:tc>
        <w:tc>
          <w:tcPr>
            <w:tcW w:type="dxa" w:w="1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0.11</w:t>
            </w:r>
          </w:p>
        </w:tc>
        <w:tc>
          <w:tcPr>
            <w:tcW w:type="dxa" w:w="1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2059</w:t>
            </w:r>
          </w:p>
        </w:tc>
        <w:tc>
          <w:tcPr>
            <w:tcW w:type="dxa" w:w="13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2048</w:t>
            </w:r>
          </w:p>
        </w:tc>
      </w:tr>
      <w:tr>
        <w:tc>
          <w:tcPr>
            <w:tcW w:type="dxa" w:w="17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Portimão/Arade †</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Railway</w:t>
            </w:r>
          </w:p>
        </w:tc>
        <w:tc>
          <w:tcPr>
            <w:tcW w:type="dxa" w:w="2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A: Managed retreat</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12</w:t>
            </w:r>
          </w:p>
        </w:tc>
        <w:tc>
          <w:tcPr>
            <w:tcW w:type="dxa" w:w="1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n/a †</w:t>
            </w:r>
          </w:p>
        </w:tc>
        <w:tc>
          <w:tcPr>
            <w:tcW w:type="dxa" w:w="1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2080</w:t>
            </w:r>
          </w:p>
        </w:tc>
        <w:tc>
          <w:tcPr>
            <w:tcW w:type="dxa" w:w="13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2068</w:t>
            </w:r>
          </w:p>
        </w:tc>
      </w:tr>
      <w:tr>
        <w:tc>
          <w:tcPr>
            <w:tcW w:type="dxa" w:w="17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PORTFOLIO TOTAL</w:t>
            </w:r>
          </w:p>
        </w:tc>
        <w:tc>
          <w:tcPr>
            <w:tcW w:type="dxa" w:w="9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w:t>
            </w:r>
          </w:p>
        </w:tc>
        <w:tc>
          <w:tcPr>
            <w:tcW w:type="dxa" w:w="20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w:t>
            </w:r>
          </w:p>
        </w:tc>
        <w:tc>
          <w:tcPr>
            <w:tcW w:type="dxa" w:w="9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340</w:t>
            </w:r>
          </w:p>
        </w:tc>
        <w:tc>
          <w:tcPr>
            <w:tcW w:type="dxa" w:w="10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104.08 ‡</w:t>
            </w:r>
          </w:p>
        </w:tc>
        <w:tc>
          <w:tcPr>
            <w:tcW w:type="dxa" w:w="12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2029–2080</w:t>
            </w:r>
          </w:p>
        </w:tc>
        <w:tc>
          <w:tcPr>
            <w:tcW w:type="dxa" w:w="13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2029–2068</w:t>
            </w:r>
          </w:p>
        </w:tc>
      </w:tr>
    </w:tbl>
    <w:p>
      <w:pPr>
        <w:spacing w:after="160" w:before="0" w:line="360"/>
        <w:jc w:val="both"/>
      </w:pPr>
    </w:p>
    <w:p>
      <w:pPr>
        <w:spacing w:after="160" w:before="0" w:line="360"/>
        <w:jc w:val="both"/>
      </w:pPr>
      <w:r>
        <w:rPr>
          <w:rFonts w:ascii="Times New Roman" w:cs="Times New Roman" w:eastAsia="Times New Roman" w:hAnsi="Times New Roman"/>
          <w:sz w:val="24"/>
          <w:szCs w:val="24"/>
        </w:rPr>
        <w:t xml:space="preserve">Figure 5.1 shows the cumulative avoided disruption cost curves for nine of the ten recommended options under SSP5-8.5/Baseline/mid (the Portimão/Arade section, evaluated on an NPV basis, is not included). The dashed horizontal lines represent the CAPEX threshold for each section; break-even is reached at the intersection of each solid curve with its corresponding dashed line. The chart illustrates three structural patterns. First, the Port of Lisbon and Port of Setubal curves accelerate most steeply after 2030, reflecting the exponential growth in annual disruption cost under the compound flood model as SLR levels approach and exceed these sections' baseline return period thresholds. Second, the railway sections (Mondego, Tagus, Aveiro) show a more gradual accumulation profile, with the steepest acceleration occurring after 2035–2040 as the compound flood model drives closure days toward the 365-day cap. Third, the A1 Azambuja and A14 Mondego curves both achieve early break-even (2040 and 2034 respectively) due to their very low CAPEX thresholds under Option 3, despite modest absolute disruption cost streams.</w:t>
      </w:r>
    </w:p>
    <w:p>
      <w:pPr>
        <w:spacing w:after="0" w:before="240" w:line="360"/>
        <w:jc w:val="center"/>
      </w:pPr>
      <w:r>
        <w:drawing>
          <wp:inline distT="0" distB="0" distL="0" distR="0">
            <wp:extent cx="561975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2771775"/>
                    </a:xfrm>
                    <a:prstGeom prst="rect">
                      <a:avLst/>
                    </a:prstGeom>
                  </pic:spPr>
                </pic:pic>
              </a:graphicData>
            </a:graphic>
          </wp:inline>
        </w:drawing>
      </w:r>
    </w:p>
    <w:p>
      <w:pPr>
        <w:spacing w:after="240" w:before="80" w:line="360"/>
        <w:jc w:val="center"/>
      </w:pPr>
      <w:r>
        <w:rPr>
          <w:rFonts w:ascii="Times New Roman" w:cs="Times New Roman" w:eastAsia="Times New Roman" w:hAnsi="Times New Roman"/>
          <w:i/>
          <w:iCs/>
          <w:sz w:val="20"/>
          <w:szCs w:val="20"/>
        </w:rPr>
        <w:t xml:space="preserve">Figure 5.1: Break-even curves for recommended adaptation options, SSP5-8.5/Baseline/mid (2025–2100). Solid lines: cumulative avoided disruption cost, calculated by applying the assumed effectiveness of each measure to the annual no-adaptation disruption cost. Dashed horizontal lines: mid-estimate CAPEX threshold for each recommended option. Break-even is reached when the solid curve crosses its corresponding dashed line. Colours: red/orange tones = railway sections; blue tones = port sections; green tones = road sections.</w:t>
      </w:r>
    </w:p>
    <w:p>
      <w:pPr>
        <w:spacing w:after="160" w:before="0" w:line="360"/>
        <w:jc w:val="both"/>
      </w:pPr>
      <w:r>
        <w:rPr>
          <w:rFonts w:ascii="Times New Roman" w:cs="Times New Roman" w:eastAsia="Times New Roman" w:hAnsi="Times New Roman"/>
          <w:sz w:val="24"/>
          <w:szCs w:val="24"/>
        </w:rPr>
        <w:t xml:space="preserve">A key structural finding from the aggregate analysis is the continuing dominance of port sections in driving portfolio economic value, with railway sections now contributing the highest share of recommended CAPEX. The four railway sections with modelled disruption costs — Mondego, Tagus, Aveiro, and Faro–Olhão — collectively contribute €36.85 billion of no-adaptation disruption cost. Including Portimão/Arade, the five railway sections require €286 million of recommended CAPEX (84% of the portfolio total), reflecting the high structural CAPEX of the Aveiro coastal barrier (€110 million) and Mondego viaduct (€120 million). The three port sections contribute €55.44 billion of no-adaptation cost but require only €44 million of recommended CAPEX (13% of the portfolio total) — because all three ports are best served by low-cost operational protocols. The two road sections (A14 Mondego and A1 Azambuja) contribute €11.79 billion of no-adaptation cost at just €10 million of combined CAPEX. The lowest-CAPEX measure in the portfolio is the Faro–Olhão traffic management protocol at €1 million. The most capital-efficient measure by no-adaptation exposure per euro of CAPEX is the Port of Lisbon operational protocol, while the Port of Setúbal protocol also represents one of the highest-value investments at €12 million for a section with €17.7 billion of no-adaptation exposure.</w:t>
      </w:r>
    </w:p>
    <w:p>
      <w:pPr>
        <w:spacing w:after="160" w:before="0" w:line="360"/>
        <w:jc w:val="both"/>
      </w:pPr>
      <w:r>
        <w:rPr>
          <w:rFonts w:ascii="Times New Roman" w:cs="Times New Roman" w:eastAsia="Times New Roman" w:hAnsi="Times New Roman"/>
          <w:sz w:val="24"/>
          <w:szCs w:val="24"/>
        </w:rPr>
        <w:t xml:space="preserve">The portfolio analysis also reveals a shared investment opportunity at the Tagus estuary. The Tagus flood barrier programme recommended for the railway section (Option 2, €42 million) would, if designed to protect the full estuary approach, simultaneously reduce disruption risk at the Port of Lisbon landside infrastructure. If designed as a shared estuary-scale asset, the combined CAPEX might be materially lower than the sum of the two individual investments, and the combined benefit pool (€11.69 billion railway + €27.28 billion port) would make it one of the most attractive shared-investment opportunities within the study's scope. A second shared opportunity exists on the Mondego corridor: the A14 motorway crossing (§5.5.1) and the Mondego railway section (§5.3.1) both face fluvial-tidal flooding from the Mondego estuary, and coordinated estuary-scale management could reduce both infrastructure systems' exposure simultaneously. Both shared-asset opportunities should be priorities for further engineering feasibility analysis.</w:t>
      </w:r>
    </w:p>
    <w:p>
      <w:pPr>
        <w:pStyle w:val="Heading2"/>
        <w:spacing w:after="160" w:before="400" w:line="360"/>
      </w:pPr>
      <w:r>
        <w:rPr>
          <w:rFonts w:ascii="Times New Roman" w:cs="Times New Roman" w:eastAsia="Times New Roman" w:hAnsi="Times New Roman"/>
          <w:b/>
          <w:bCs/>
          <w:sz w:val="26"/>
          <w:szCs w:val="26"/>
        </w:rPr>
        <w:t xml:space="preserve">5.7  NPV Sensitivity Analysis</w:t>
      </w:r>
    </w:p>
    <w:p>
      <w:pPr>
        <w:spacing w:after="160" w:before="0" w:line="360"/>
        <w:jc w:val="both"/>
      </w:pPr>
      <w:r>
        <w:rPr>
          <w:rFonts w:ascii="Times New Roman" w:cs="Times New Roman" w:eastAsia="Times New Roman" w:hAnsi="Times New Roman"/>
          <w:sz w:val="24"/>
          <w:szCs w:val="24"/>
        </w:rPr>
        <w:t xml:space="preserve">All break-even years reported in Sections 5.3–5.6 are computed without discounting (0% real discount rate), consistent with the presentation in Chapter 4 and with the transparency objective of the cumulative cost framework. This section presents the effect of applying real discount rates of 1.4% (the Stern Review social discount rate for long-horizon climate risks; Stern, 2007) and 3% (a widely used central estimate for public project appraisal in EU member states) on the break-even year for the recommended option at each section. Under positive discounting, future savings are worth less in present-value terms than their nominal equivalents, systematically extending the discounted break-even year relative to the undiscounted baseline. The direction and magnitude of this shift depends on when in the savings stream the bulk of avoided disruption accumulates.</w:t>
      </w:r>
    </w:p>
    <w:p>
      <w:pPr>
        <w:spacing w:after="160" w:before="0" w:line="360"/>
        <w:jc w:val="both"/>
      </w:pPr>
      <w:r>
        <w:rPr>
          <w:rFonts w:ascii="Times New Roman" w:cs="Times New Roman" w:eastAsia="Times New Roman" w:hAnsi="Times New Roman"/>
          <w:sz w:val="24"/>
          <w:szCs w:val="24"/>
        </w:rPr>
        <w:t xml:space="preserve">Table 5.10: NPV sensitivity analysis for recommended adaptation options, SSP5-8.5/Baseline/mid. Break-even years at three real discount rates. Annual avoided disruption cost is approximated from the Pillar 3 compound flood model annual cost output as a proxy for annual savings under the recommended option.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900"/>
        <w:gridCol w:w="1200"/>
        <w:gridCol w:w="1400"/>
        <w:gridCol w:w="1300"/>
      </w:tblGrid>
      <w:tr>
        <w:trPr>
          <w:tblHeader/>
        </w:trPr>
        <w:tc>
          <w:tcPr>
            <w:tcW w:type="dxa" w:w="20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0"/>
                <w:szCs w:val="20"/>
              </w:rPr>
              <w:t xml:space="preserve">Section</w:t>
            </w:r>
          </w:p>
        </w:tc>
        <w:tc>
          <w:tcPr>
            <w:tcW w:type="dxa" w:w="22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0"/>
                <w:szCs w:val="20"/>
              </w:rPr>
              <w:t xml:space="preserve">Recommended Option</w:t>
            </w:r>
          </w:p>
        </w:tc>
        <w:tc>
          <w:tcPr>
            <w:tcW w:type="dxa" w:w="9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0"/>
                <w:szCs w:val="20"/>
              </w:rPr>
              <w:t xml:space="preserve">CAPEX
mid (€M)</w:t>
            </w:r>
          </w:p>
        </w:tc>
        <w:tc>
          <w:tcPr>
            <w:tcW w:type="dxa" w:w="12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0"/>
                <w:szCs w:val="20"/>
              </w:rPr>
              <w:t xml:space="preserve">BE at 0%</w:t>
            </w:r>
          </w:p>
        </w:tc>
        <w:tc>
          <w:tcPr>
            <w:tcW w:type="dxa" w:w="14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0"/>
                <w:szCs w:val="20"/>
              </w:rPr>
              <w:t xml:space="preserve">BE at 1.4%
(Stern)</w:t>
            </w:r>
          </w:p>
        </w:tc>
        <w:tc>
          <w:tcPr>
            <w:tcW w:type="dxa" w:w="13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0"/>
                <w:szCs w:val="20"/>
              </w:rPr>
              <w:t xml:space="preserve">BE at 3%</w:t>
            </w:r>
          </w:p>
        </w:tc>
      </w:tr>
      <w:tr>
        <w:tc>
          <w:tcPr>
            <w:tcW w:type="dxa" w:w="2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A14 Mondego</w:t>
            </w:r>
          </w:p>
        </w:tc>
        <w:tc>
          <w:tcPr>
            <w:tcW w:type="dxa" w:w="2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3: Traffic mgmt</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4</w:t>
            </w:r>
          </w:p>
        </w:tc>
        <w:tc>
          <w:tcPr>
            <w:tcW w:type="dxa" w:w="1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2034</w:t>
            </w:r>
          </w:p>
        </w:tc>
        <w:tc>
          <w:tcPr>
            <w:tcW w:type="dxa" w:w="14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2034</w:t>
            </w:r>
          </w:p>
        </w:tc>
        <w:tc>
          <w:tcPr>
            <w:tcW w:type="dxa" w:w="13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2034</w:t>
            </w:r>
          </w:p>
        </w:tc>
      </w:tr>
      <w:tr>
        <w:tc>
          <w:tcPr>
            <w:tcW w:type="dxa" w:w="2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Port of Lisbon</w:t>
            </w:r>
          </w:p>
        </w:tc>
        <w:tc>
          <w:tcPr>
            <w:tcW w:type="dxa" w:w="2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3: Operational</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17</w:t>
            </w:r>
          </w:p>
        </w:tc>
        <w:tc>
          <w:tcPr>
            <w:tcW w:type="dxa" w:w="1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2035</w:t>
            </w:r>
          </w:p>
        </w:tc>
        <w:tc>
          <w:tcPr>
            <w:tcW w:type="dxa" w:w="14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2035</w:t>
            </w:r>
          </w:p>
        </w:tc>
        <w:tc>
          <w:tcPr>
            <w:tcW w:type="dxa" w:w="13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2035</w:t>
            </w:r>
          </w:p>
        </w:tc>
      </w:tr>
      <w:tr>
        <w:tc>
          <w:tcPr>
            <w:tcW w:type="dxa" w:w="2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Port of Setúbal</w:t>
            </w:r>
          </w:p>
        </w:tc>
        <w:tc>
          <w:tcPr>
            <w:tcW w:type="dxa" w:w="2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3: Operational</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12</w:t>
            </w:r>
          </w:p>
        </w:tc>
        <w:tc>
          <w:tcPr>
            <w:tcW w:type="dxa" w:w="1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2036</w:t>
            </w:r>
          </w:p>
        </w:tc>
        <w:tc>
          <w:tcPr>
            <w:tcW w:type="dxa" w:w="14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2036</w:t>
            </w:r>
          </w:p>
        </w:tc>
        <w:tc>
          <w:tcPr>
            <w:tcW w:type="dxa" w:w="13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2036</w:t>
            </w:r>
          </w:p>
        </w:tc>
      </w:tr>
      <w:tr>
        <w:tc>
          <w:tcPr>
            <w:tcW w:type="dxa" w:w="2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A1 Azambuja</w:t>
            </w:r>
          </w:p>
        </w:tc>
        <w:tc>
          <w:tcPr>
            <w:tcW w:type="dxa" w:w="2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3: Traffic mgmt</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6</w:t>
            </w:r>
          </w:p>
        </w:tc>
        <w:tc>
          <w:tcPr>
            <w:tcW w:type="dxa" w:w="1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2040</w:t>
            </w:r>
          </w:p>
        </w:tc>
        <w:tc>
          <w:tcPr>
            <w:tcW w:type="dxa" w:w="14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2040</w:t>
            </w:r>
          </w:p>
        </w:tc>
        <w:tc>
          <w:tcPr>
            <w:tcW w:type="dxa" w:w="13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2040</w:t>
            </w:r>
          </w:p>
        </w:tc>
      </w:tr>
      <w:tr>
        <w:tc>
          <w:tcPr>
            <w:tcW w:type="dxa" w:w="2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Mondego</w:t>
            </w:r>
          </w:p>
        </w:tc>
        <w:tc>
          <w:tcPr>
            <w:tcW w:type="dxa" w:w="2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1: In-situ viaduct</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120</w:t>
            </w:r>
          </w:p>
        </w:tc>
        <w:tc>
          <w:tcPr>
            <w:tcW w:type="dxa" w:w="1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2042</w:t>
            </w:r>
          </w:p>
        </w:tc>
        <w:tc>
          <w:tcPr>
            <w:tcW w:type="dxa" w:w="14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2044</w:t>
            </w:r>
          </w:p>
        </w:tc>
        <w:tc>
          <w:tcPr>
            <w:tcW w:type="dxa" w:w="13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2045</w:t>
            </w:r>
          </w:p>
        </w:tc>
      </w:tr>
      <w:tr>
        <w:tc>
          <w:tcPr>
            <w:tcW w:type="dxa" w:w="2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Tagus floodplain</w:t>
            </w:r>
          </w:p>
        </w:tc>
        <w:tc>
          <w:tcPr>
            <w:tcW w:type="dxa" w:w="2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2: Flood barriers</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42</w:t>
            </w:r>
          </w:p>
        </w:tc>
        <w:tc>
          <w:tcPr>
            <w:tcW w:type="dxa" w:w="1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2042</w:t>
            </w:r>
          </w:p>
        </w:tc>
        <w:tc>
          <w:tcPr>
            <w:tcW w:type="dxa" w:w="14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2043</w:t>
            </w:r>
          </w:p>
        </w:tc>
        <w:tc>
          <w:tcPr>
            <w:tcW w:type="dxa" w:w="13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2044</w:t>
            </w:r>
          </w:p>
        </w:tc>
      </w:tr>
      <w:tr>
        <w:tc>
          <w:tcPr>
            <w:tcW w:type="dxa" w:w="2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Port of Leixões</w:t>
            </w:r>
          </w:p>
        </w:tc>
        <w:tc>
          <w:tcPr>
            <w:tcW w:type="dxa" w:w="2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3: Operational</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15</w:t>
            </w:r>
          </w:p>
        </w:tc>
        <w:tc>
          <w:tcPr>
            <w:tcW w:type="dxa" w:w="1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2043</w:t>
            </w:r>
          </w:p>
        </w:tc>
        <w:tc>
          <w:tcPr>
            <w:tcW w:type="dxa" w:w="14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2043</w:t>
            </w:r>
          </w:p>
        </w:tc>
        <w:tc>
          <w:tcPr>
            <w:tcW w:type="dxa" w:w="13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2043</w:t>
            </w:r>
          </w:p>
        </w:tc>
      </w:tr>
      <w:tr>
        <w:tc>
          <w:tcPr>
            <w:tcW w:type="dxa" w:w="2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Aveiro Ria</w:t>
            </w:r>
          </w:p>
        </w:tc>
        <w:tc>
          <w:tcPr>
            <w:tcW w:type="dxa" w:w="2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2: Coastal barrier</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110</w:t>
            </w:r>
          </w:p>
        </w:tc>
        <w:tc>
          <w:tcPr>
            <w:tcW w:type="dxa" w:w="1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2048</w:t>
            </w:r>
          </w:p>
        </w:tc>
        <w:tc>
          <w:tcPr>
            <w:tcW w:type="dxa" w:w="14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2050</w:t>
            </w:r>
          </w:p>
        </w:tc>
        <w:tc>
          <w:tcPr>
            <w:tcW w:type="dxa" w:w="13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2051</w:t>
            </w:r>
          </w:p>
        </w:tc>
      </w:tr>
      <w:tr>
        <w:tc>
          <w:tcPr>
            <w:tcW w:type="dxa" w:w="2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Faro–Olhão</w:t>
            </w:r>
          </w:p>
        </w:tc>
        <w:tc>
          <w:tcPr>
            <w:tcW w:type="dxa" w:w="2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3: Traffic mgmt</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w:t>
            </w:r>
          </w:p>
        </w:tc>
        <w:tc>
          <w:tcPr>
            <w:tcW w:type="dxa" w:w="1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2059</w:t>
            </w:r>
          </w:p>
        </w:tc>
        <w:tc>
          <w:tcPr>
            <w:tcW w:type="dxa" w:w="14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2059</w:t>
            </w:r>
          </w:p>
        </w:tc>
        <w:tc>
          <w:tcPr>
            <w:tcW w:type="dxa" w:w="13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2059</w:t>
            </w:r>
          </w:p>
        </w:tc>
      </w:tr>
      <w:tr>
        <w:tc>
          <w:tcPr>
            <w:tcW w:type="dxa" w:w="20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Portimão/Arade †</w:t>
            </w:r>
          </w:p>
        </w:tc>
        <w:tc>
          <w:tcPr>
            <w:tcW w:type="dxa" w:w="2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Opt A: Managed retreat</w:t>
            </w:r>
          </w:p>
        </w:tc>
        <w:tc>
          <w:tcPr>
            <w:tcW w:type="dxa" w:w="9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12</w:t>
            </w:r>
          </w:p>
        </w:tc>
        <w:tc>
          <w:tcPr>
            <w:tcW w:type="dxa" w:w="12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2080</w:t>
            </w:r>
          </w:p>
        </w:tc>
        <w:tc>
          <w:tcPr>
            <w:tcW w:type="dxa" w:w="14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2081</w:t>
            </w:r>
          </w:p>
        </w:tc>
        <w:tc>
          <w:tcPr>
            <w:tcW w:type="dxa" w:w="1300"/>
            <w:gridSpan w:val="1"/>
            <w:tcBorders>
              <w:top w:val="single" w:color="999999" w:sz="4"/>
              <w:left w:val="single" w:color="999999" w:sz="4"/>
              <w:bottom w:val="single" w:color="999999" w:sz="4"/>
              <w:right w:val="single" w:color="999999" w:sz="4"/>
            </w:tcBorders>
            <w:shd w:fill="FDECEA" w:color="FDECE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2082</w:t>
            </w:r>
          </w:p>
        </w:tc>
      </w:tr>
    </w:tbl>
    <w:p>
      <w:pPr>
        <w:spacing w:after="160" w:before="0" w:line="360"/>
        <w:jc w:val="both"/>
      </w:pPr>
    </w:p>
    <w:p>
      <w:pPr>
        <w:spacing w:after="160" w:before="0" w:line="360"/>
        <w:jc w:val="both"/>
      </w:pPr>
      <w:r>
        <w:rPr>
          <w:rFonts w:ascii="Times New Roman" w:cs="Times New Roman" w:eastAsia="Times New Roman" w:hAnsi="Times New Roman"/>
          <w:sz w:val="24"/>
          <w:szCs w:val="24"/>
        </w:rPr>
        <w:t xml:space="preserve">The NPV sensitivity results are notably robust. The recommended options achieve break-even across all three discount rates for all ten sections within the study horizon (2100), with discounted break-even years shifting by a maximum of 3 years relative to the undiscounted baseline (Mondego Opt 1 shifts from 2042 to 2045 at 3%; Aveiro Opt 2 shifts from 2048 to 2051 at 3%). This robustness reflects two structural features of the analysis. First, the recommended options predominantly have low CAPEX (€1–€17 million for seven of the ten sections), meaning the CAPEX threshold is crossed early in the savings stream when cumulative avoided disruption costs are still modest. Second, for sections where disruption costs grow exponentially in the compound flood model (ports, railway sections), the rate of disruption cost acceleration after threshold crossing is steep enough that even at a 3% discount rate, the cumulative discounted avoided disruption savings cross the CAPEX threshold well within the study horizon. The Mondego section (the largest recommended CAPEX at €120 million) shows the largest discount sensitivity among the disruption-cost sections, with a 3-year shift at 3% discount rate. Aveiro Ria (€110 million, Opt 2) shows a comparable 3-year shift. The Portimão/Arade section (Opt A, NPV basis) shifts by 2 years at 3%.</w:t>
      </w:r>
    </w:p>
    <w:p>
      <w:pPr>
        <w:spacing w:after="160" w:before="0" w:line="360"/>
        <w:jc w:val="both"/>
      </w:pPr>
      <w:r>
        <w:rPr>
          <w:rFonts w:ascii="Times New Roman" w:cs="Times New Roman" w:eastAsia="Times New Roman" w:hAnsi="Times New Roman"/>
          <w:sz w:val="24"/>
          <w:szCs w:val="24"/>
        </w:rPr>
        <w:t xml:space="preserve">The implication is that the adaptation investment case presented in this chapter is not sensitive to the choice of social discount rate within the range typically considered in EU public project appraisal. Even at a 3% real discount rate, every recommended option achieves positive NPV within the 2025–2100 horizon under SSP5-8.5. The discounted break-even results remain favourable across the full range of discount rates examined.</w:t>
      </w:r>
    </w:p>
    <w:p>
      <w:pPr>
        <w:pStyle w:val="Heading2"/>
        <w:spacing w:after="160" w:before="400" w:line="360"/>
      </w:pPr>
      <w:r>
        <w:rPr>
          <w:rFonts w:ascii="Times New Roman" w:cs="Times New Roman" w:eastAsia="Times New Roman" w:hAnsi="Times New Roman"/>
          <w:b/>
          <w:bCs/>
          <w:sz w:val="26"/>
          <w:szCs w:val="26"/>
        </w:rPr>
        <w:t xml:space="preserve">5.8  Chapter Summary</w:t>
      </w:r>
    </w:p>
    <w:p>
      <w:pPr>
        <w:spacing w:after="160" w:before="0" w:line="360"/>
        <w:jc w:val="both"/>
      </w:pPr>
      <w:r>
        <w:rPr>
          <w:rFonts w:ascii="Times New Roman" w:cs="Times New Roman" w:eastAsia="Times New Roman" w:hAnsi="Times New Roman"/>
          <w:sz w:val="24"/>
          <w:szCs w:val="24"/>
        </w:rPr>
        <w:t xml:space="preserve">This chapter has evaluated the economic case for adaptation investment across all ten Pillar 3 infrastructure sections, presenting a recommended portfolio of measures and demonstrating its robustness across scenarios, discount rates, and CAPEX uncertainty ranges.</w:t>
      </w:r>
    </w:p>
    <w:p>
      <w:pPr>
        <w:spacing w:after="160" w:before="0" w:line="360"/>
        <w:jc w:val="both"/>
      </w:pPr>
      <w:r>
        <w:rPr>
          <w:rFonts w:ascii="Times New Roman" w:cs="Times New Roman" w:eastAsia="Times New Roman" w:hAnsi="Times New Roman"/>
          <w:sz w:val="24"/>
          <w:szCs w:val="24"/>
        </w:rPr>
        <w:t xml:space="preserve">The recommended portfolio requires a total mid-estimate CAPEX of €340 million, spanning targeted structural interventions at the railway sections (Aveiro coastal barrier, Tagus flood barriers, Mondego in-situ viaduct, Portimão managed retreat) and low-cost operational protocols at all three ports, both road sections, and the Faro–Olhão railway section. This €340 million investment stands against a no-adaptation disruption cost of €104.08 billion for the nine costed sections under SSP5-8.5/Baseline, a modelled 306:1 ratio of potential avoided disruption cost to adaptation CAPEX within the study framework. The portfolio break-even year ranges from 2029 (A14 Mondego, SSP5-8.5/+Geoid) to 2080 (Portimão/Arade, SSP5-8.5/Baseline, NPV basis), confirming that economically justified adaptation is available at all ten sections within the study horizon.</w:t>
      </w:r>
    </w:p>
    <w:p>
      <w:pPr>
        <w:spacing w:after="160" w:before="0" w:line="360"/>
        <w:jc w:val="both"/>
      </w:pPr>
      <w:r>
        <w:rPr>
          <w:rFonts w:ascii="Times New Roman" w:cs="Times New Roman" w:eastAsia="Times New Roman" w:hAnsi="Times New Roman"/>
          <w:sz w:val="24"/>
          <w:szCs w:val="24"/>
        </w:rPr>
        <w:t xml:space="preserve">The earliest break-even case in the portfolio is the A14 Mondego traffic management protocol (€4 million), reaching break-even by 2029 under SSP5-8.5/+Geoid. The Faro–Olhão service disruption protocol (€1 million) achieves break-even by 2048 under the same variant, reflecting its smaller disruption cost base. The coastal barrier at Aveiro Ria (€110 million, Opt 2) achieves break-even by 2038 under the +Geoid variant, representing the second-largest CAPEX investment in the portfolio, after the Mondego viaduct. The most capital-efficient investments are the operational protocols at the three ports (€12–17 million each) and the two road sections (€4–6 million each), where very low CAPEX thresholds are crossed rapidly. The A1 Azambuja section illustrates why low-CAPEX operational measures often dominate high-CAPEX structural options in adaptation portfolios with long lead times: at €6 million, Option 3 achieves break-even 33 years earlier than the €240 million carriageway-raising Option 1.</w:t>
      </w:r>
    </w:p>
    <w:p>
      <w:pPr>
        <w:spacing w:after="160" w:before="0" w:line="360"/>
        <w:jc w:val="both"/>
      </w:pPr>
      <w:r>
        <w:rPr>
          <w:rFonts w:ascii="Times New Roman" w:cs="Times New Roman" w:eastAsia="Times New Roman" w:hAnsi="Times New Roman"/>
          <w:sz w:val="24"/>
          <w:szCs w:val="24"/>
        </w:rPr>
        <w:t xml:space="preserve">Three cross-cutting findings from the aggregate portfolio analysis are worth highlighting. First, the geoid offset variant (Seeger &amp; Minderhoud, 2026) systematically advances break-even years by 4–8 years across all sections and all options, strengthening the investment case materially and suggesting that the IPCC AR6 baseline break-even years should be treated as a conservative upper bound for adaptation timing decisions. Second, two shared corridor investment opportunities are identified: a Tagus estuary barrier that would capture savings at both the Tagus railway section (€11.69 billion no-adapt cost) and Port of Lisbon (€27.28 billion no-adapt cost), and a Mondego corridor intervention that would simultaneously protect the A14 motorway (€5.59 billion) and the Mondego railway section (€13.31 billion) against fluvial-tidal flooding — both represent attractive multi-stakeholder investment opportunities with combined CAPEX potentially below the sum of individual measures. Third, the NPV sensitivity analysis confirms that the adaptation portfolio is indicated as cost-effective across discount rates from 0% to 3%, with maximum break-even year shifts of 3 years at the 3% rate, well within any reasonable planning horizon.</w:t>
      </w:r>
    </w:p>
    <w:p>
      <w:pPr>
        <w:spacing w:after="160" w:before="0" w:line="360"/>
        <w:jc w:val="both"/>
      </w:pPr>
      <w:r>
        <w:rPr>
          <w:rFonts w:ascii="Times New Roman" w:cs="Times New Roman" w:eastAsia="Times New Roman" w:hAnsi="Times New Roman"/>
          <w:sz w:val="24"/>
          <w:szCs w:val="24"/>
        </w:rPr>
        <w:t xml:space="preserve">Chapter 6 synthesises the findings across all five chapters, discusses the study’s limitations and contributions to the coastal risk assessment literature, and proposes directions for further research and policy application.</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60" w:before="4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11ec7b0c22c99674597fd71810294b7e13184da.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2026-05-02T10:59:46.092Z</dcterms:created>
  <dcterms:modified xsi:type="dcterms:W3CDTF">2026-05-02T10:59:46.092Z</dcterms:modified>
</cp:coreProperties>
</file>

<file path=docProps/custom.xml><?xml version="1.0" encoding="utf-8"?>
<Properties xmlns="http://schemas.openxmlformats.org/officeDocument/2006/custom-properties" xmlns:vt="http://schemas.openxmlformats.org/officeDocument/2006/docPropsVTypes"/>
</file>