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Chapter 6: Discussion and Conclusions</w:t>
      </w:r>
    </w:p>
    <w:p>
      <w:pPr>
        <w:pStyle w:val="Heading2"/>
        <w:spacing w:after="160" w:before="400" w:line="360"/>
      </w:pPr>
      <w:r>
        <w:rPr>
          <w:rFonts w:ascii="Times New Roman" w:cs="Times New Roman" w:eastAsia="Times New Roman" w:hAnsi="Times New Roman"/>
          <w:b/>
          <w:bCs/>
          <w:sz w:val="26"/>
          <w:szCs w:val="26"/>
        </w:rPr>
        <w:t xml:space="preserve">6.1  Chapter Overview</w:t>
      </w:r>
    </w:p>
    <w:p>
      <w:pPr>
        <w:spacing w:after="160" w:before="0" w:line="360"/>
        <w:jc w:val="both"/>
      </w:pPr>
      <w:r>
        <w:rPr>
          <w:rFonts w:ascii="Times New Roman" w:cs="Times New Roman" w:eastAsia="Times New Roman" w:hAnsi="Times New Roman"/>
          <w:sz w:val="24"/>
          <w:szCs w:val="24"/>
        </w:rPr>
        <w:t xml:space="preserve">This chapter synthesises the findings of the dissertation across its five analytical chapters, draws conclusions about the economic and infrastructure consequences of sea-level rise (SLR) on coastal Portugal, and evaluates the contribution of the study to the coastal risk assessment literature. The chapter is structured as follows: Section 6.2 presents an integrated synthesis of the main quantitative findings by pillar; Section 6.3 discusses the study’s contributions to knowledge; Section 6.4 addresses the principal limitations of the analytical framework; Section 6.5 considers the policy implications of the findings; Section 6.6 proposes directions for further research; and Section 6.7 presents the concluding remarks.</w:t>
      </w:r>
    </w:p>
    <w:p>
      <w:pPr>
        <w:spacing w:after="160" w:before="0" w:line="360"/>
        <w:jc w:val="both"/>
      </w:pPr>
      <w:r>
        <w:rPr>
          <w:rFonts w:ascii="Times New Roman" w:cs="Times New Roman" w:eastAsia="Times New Roman" w:hAnsi="Times New Roman"/>
          <w:sz w:val="24"/>
          <w:szCs w:val="24"/>
        </w:rPr>
        <w:t xml:space="preserve">The dissertation set out to answer three research questions: (RQ1) What GDP and physical infrastructure is exposed to SLR inundation across coastal Portugal by 2100? (RQ2) What is the operational and economic disruption to critical infrastructure networks under each IPCC AR6 scenario? (RQ3) When do adaptation investments break even against projected disruption costs? Each research question was addressed through a dedicated analytical pillar, and the answers, taken together, constitute a self-contained quantitative risk framework for the SLR threat to Portuguese coastal infrastructure over the 2025–2100 horizon.</w:t>
      </w:r>
    </w:p>
    <w:p>
      <w:pPr>
        <w:pStyle w:val="Heading2"/>
        <w:spacing w:after="160" w:before="400" w:line="360"/>
      </w:pPr>
      <w:r>
        <w:rPr>
          <w:rFonts w:ascii="Times New Roman" w:cs="Times New Roman" w:eastAsia="Times New Roman" w:hAnsi="Times New Roman"/>
          <w:b/>
          <w:bCs/>
          <w:sz w:val="26"/>
          <w:szCs w:val="26"/>
        </w:rPr>
        <w:t xml:space="preserve">6.2  Synthesis of Main Findings</w:t>
      </w:r>
    </w:p>
    <w:p>
      <w:pPr>
        <w:pStyle w:val="Heading3"/>
        <w:spacing w:after="120" w:before="240" w:line="360"/>
      </w:pPr>
      <w:r>
        <w:rPr>
          <w:rFonts w:ascii="Times New Roman" w:cs="Times New Roman" w:eastAsia="Times New Roman" w:hAnsi="Times New Roman"/>
          <w:b/>
          <w:bCs/>
          <w:sz w:val="24"/>
          <w:szCs w:val="24"/>
        </w:rPr>
        <w:t xml:space="preserve">6.2.1  Pillar 1: Economic Exposure and GDP at Risk</w:t>
      </w:r>
    </w:p>
    <w:p>
      <w:pPr>
        <w:spacing w:after="160" w:before="0" w:line="360"/>
        <w:jc w:val="both"/>
      </w:pPr>
      <w:r>
        <w:rPr>
          <w:rFonts w:ascii="Times New Roman" w:cs="Times New Roman" w:eastAsia="Times New Roman" w:hAnsi="Times New Roman"/>
          <w:sz w:val="24"/>
          <w:szCs w:val="24"/>
        </w:rPr>
        <w:t xml:space="preserve">The static inundation model applied in Pillar 1 identified 12 coastal NUTS3 regions as materially exposed to SLR across the three IPCC AR6 scenarios. Under the baseline SSP5-8.5 projection for 2100, the analysis estimated approximately </w:t>
      </w:r>
      <w:r>
        <w:rPr>
          <w:rFonts w:ascii="Times New Roman" w:cs="Times New Roman" w:eastAsia="Times New Roman" w:hAnsi="Times New Roman"/>
          <w:b/>
          <w:bCs/>
          <w:sz w:val="24"/>
          <w:szCs w:val="24"/>
        </w:rPr>
        <w:t xml:space="preserve">€5.30 billion</w:t>
      </w:r>
      <w:r>
        <w:rPr>
          <w:rFonts w:ascii="Times New Roman" w:cs="Times New Roman" w:eastAsia="Times New Roman" w:hAnsi="Times New Roman"/>
          <w:sz w:val="24"/>
          <w:szCs w:val="24"/>
        </w:rPr>
        <w:t xml:space="preserve"> of GDP at risk under baseline assumptions, rising to €6.35 billion under the geoid-adjusted (+Geoid) sensitivity variant. These figures represent, respectively, approximately 2.1% and 2.5% of Portugal’s 2023 nominal GDP, confirming that the macro-economic exposure to SLR is material but not existential at the national level. It is important to note that the Pillar 1 metric — GDP at risk of disruption — is an annual economic flow measure: it quantifies the value of economic activity that would be impaired by inundation in a given year, not the replacement cost of physical assets exposed, which is the subject of Pillar 2. The two metrics are complementary rather than additive, and they answer different questions: Pillar 1 captures vulnerability of the productive economy, while Pillar 2 captures the capital stock at risk of physical damage. At the NUTS3 level, however, the distribution is highly uneven: the three highest-exposure regions — Grande Lisboa, Península de Setúbal, and Região de Aveiro — account for a disproportionate share of exposed GDP, reflecting the concentration of economic activity in the Lisbon metropolitan area and the industrialised estuarine corridors of the Tagus and Mondego rivers.</w:t>
      </w:r>
    </w:p>
    <w:p>
      <w:pPr>
        <w:spacing w:after="160" w:before="0" w:line="360"/>
        <w:jc w:val="both"/>
      </w:pPr>
      <w:r>
        <w:rPr>
          <w:rFonts w:ascii="Times New Roman" w:cs="Times New Roman" w:eastAsia="Times New Roman" w:hAnsi="Times New Roman"/>
          <w:sz w:val="24"/>
          <w:szCs w:val="24"/>
        </w:rPr>
        <w:t xml:space="preserve">The Pillar 1 analysis confirmed the spatial pattern anticipated from the literature: exposure is non-linear with respect to SLR magnitude. Under SSP1-2.6, inundation remains largely confined to the lowest-lying estuarine and lagoonal margins; under SSP5-8.5, inundation extends significantly further inland, particularly in the Aveiro Ria lagoon system and the Tagus and Mondego floodplains. The geoid offset sensitivity, adding a further 0.15 m to projected SLR levels, is sufficient to shift several sections from “moderate exposure” to “significant exposure” categories. This non-linearity is important for policy: even relatively modest reductions in emissions trajectories — for example from SSP5-8.5 to SSP2-4.5 — can produce meaningful reductions in physical exposure.</w:t>
      </w:r>
    </w:p>
    <w:p>
      <w:pPr>
        <w:pStyle w:val="Heading3"/>
        <w:spacing w:after="120" w:before="240" w:line="360"/>
      </w:pPr>
      <w:r>
        <w:rPr>
          <w:rFonts w:ascii="Times New Roman" w:cs="Times New Roman" w:eastAsia="Times New Roman" w:hAnsi="Times New Roman"/>
          <w:b/>
          <w:bCs/>
          <w:sz w:val="24"/>
          <w:szCs w:val="24"/>
        </w:rPr>
        <w:t xml:space="preserve">6.2.2  Pillar 2: Asset Exposure and Infrastructure Replacement Cost</w:t>
      </w:r>
    </w:p>
    <w:p>
      <w:pPr>
        <w:spacing w:after="160" w:before="0" w:line="360"/>
        <w:jc w:val="both"/>
      </w:pPr>
      <w:r>
        <w:rPr>
          <w:rFonts w:ascii="Times New Roman" w:cs="Times New Roman" w:eastAsia="Times New Roman" w:hAnsi="Times New Roman"/>
          <w:sz w:val="24"/>
          <w:szCs w:val="24"/>
        </w:rPr>
        <w:t xml:space="preserve">Pillar 2 extended the spatial analysis to the physical asset stock within the flood zone, estimating the replacement cost of buildings and infrastructure exposed to SLR inundation across the 12 coastal NUTS3 regions. The asset exposure analysis drew on INE Census 2021 building density data, region-specific storey multipliers, and construction cost benchmarks to produce spatially differentiated replacement cost estimates. The Pillar 2 results established the infrastructure density context within which the Pillar 3 disruption analysis is situated: the concentration of high-replacement-cost assets in the Grande Lisboa and Península de Setúbal NUTS3 regions is directly reflected in the high daily disruption rates assigned to the Port of Lisbon and the Port of Setúbal in Pillar 3.</w:t>
      </w:r>
    </w:p>
    <w:p>
      <w:pPr>
        <w:spacing w:after="160" w:before="0" w:line="360"/>
        <w:jc w:val="both"/>
      </w:pPr>
      <w:r>
        <w:rPr>
          <w:rFonts w:ascii="Times New Roman" w:cs="Times New Roman" w:eastAsia="Times New Roman" w:hAnsi="Times New Roman"/>
          <w:sz w:val="24"/>
          <w:szCs w:val="24"/>
        </w:rPr>
        <w:t xml:space="preserve">The K-Means cluster analysis of the 12 coastal NUTS3 regions (§3.7) produced four risk tiers across a composite feature space of flood extent, GDP at risk, fraction flooded, and infrastructure replacement cost. The Priority Risk tier comprises Grande Lisboa alone, whose infrastructure replacement cost (€65.3 billion) and GDP at risk (€4.48 billion) exceed those of all other regions by nearly an order of magnitude, reflecting the concentration of economic activity in the Tagus estuary floodplain. The High Risk tier groups three regions (Aveiro, Península de Setúbal, Algarve) with elevated infrastructure stock and non-trivial economic exposure, though at an order of magnitude below Grande Lisboa. The Moderate Risk tier covers seven regions including the Área Metropolitana do Porto, which despite its large total GDP is classified as moderate risk because the great majority of its economic activity sits on elevated terrain well above any SLR scenario. The Low Risk tier comprises Região de Leiria alone, whose coastal terrain provides a natural barrier against inundation even under the most extreme scenario. All ten Pillar 3 sections fall within NUTS3 regions classified as High Risk or Priority Risk, confirming that the cluster typology’s spatial logic is consistent with the infrastructure disruption analysis. Cluster separation was supported by silhouette analysis (score at k = 4: 0.414), and the log1p pre-transformation was necessary to produce meaningful differentiation in the presence of highly right-skewed exposure distributions.</w:t>
      </w:r>
    </w:p>
    <w:p>
      <w:pPr>
        <w:pStyle w:val="Heading3"/>
        <w:spacing w:after="120" w:before="240" w:line="360"/>
      </w:pPr>
      <w:r>
        <w:rPr>
          <w:rFonts w:ascii="Times New Roman" w:cs="Times New Roman" w:eastAsia="Times New Roman" w:hAnsi="Times New Roman"/>
          <w:b/>
          <w:bCs/>
          <w:sz w:val="24"/>
          <w:szCs w:val="24"/>
        </w:rPr>
        <w:t xml:space="preserve">6.2.3  Pillar 3: Compound Flood Disruption Costs</w:t>
      </w:r>
    </w:p>
    <w:p>
      <w:pPr>
        <w:spacing w:after="160" w:before="0" w:line="360"/>
        <w:jc w:val="both"/>
      </w:pPr>
      <w:r>
        <w:rPr>
          <w:rFonts w:ascii="Times New Roman" w:cs="Times New Roman" w:eastAsia="Times New Roman" w:hAnsi="Times New Roman"/>
          <w:sz w:val="24"/>
          <w:szCs w:val="24"/>
        </w:rPr>
        <w:t xml:space="preserve">The compound flood model in Pillar 3 is the analytical core of the dissertation. It translates physical SLR exposure into economic disruption cost estimates by projecting annual flood closure days at each of the ten critical infrastructure sections as SLR increases (nine modelled for disruption costs; the Portimão/Arade section is included in the adaptation analysis as an adapt-only case), and applying section-specific daily disruption rates (DDR) to convert closure days into annual cost streams. The model applies a default exponential acceleration parameter (k = ln(2)/0.10 ≈ 6.93 m⁻¹) where section-specific calibration data are unavailable, implying that flood return periods halve for each additional 0.10 m of SLR, consistent with the compound flood frequency literature (Moftakhari et al., 2017). The resulting no-adaptation cumulative disruption costs, aggregated across the nine disruption sections for the period 2025–2100, total </w:t>
      </w:r>
      <w:r>
        <w:rPr>
          <w:rFonts w:ascii="Times New Roman" w:cs="Times New Roman" w:eastAsia="Times New Roman" w:hAnsi="Times New Roman"/>
          <w:b/>
          <w:bCs/>
          <w:sz w:val="24"/>
          <w:szCs w:val="24"/>
        </w:rPr>
        <w:t xml:space="preserve">€104.08 billion</w:t>
      </w:r>
      <w:r>
        <w:rPr>
          <w:rFonts w:ascii="Times New Roman" w:cs="Times New Roman" w:eastAsia="Times New Roman" w:hAnsi="Times New Roman"/>
          <w:sz w:val="24"/>
          <w:szCs w:val="24"/>
        </w:rPr>
        <w:t xml:space="preserve"> under SSP5-8.5/Baseline/mid — a modelled estimate of direct disruption cost within the study framework, not a forecast of total economy-wide loss.</w:t>
      </w:r>
    </w:p>
    <w:p>
      <w:pPr>
        <w:spacing w:after="160" w:before="0" w:line="360"/>
        <w:jc w:val="both"/>
      </w:pPr>
      <w:r>
        <w:rPr>
          <w:rFonts w:ascii="Times New Roman" w:cs="Times New Roman" w:eastAsia="Times New Roman" w:hAnsi="Times New Roman"/>
          <w:sz w:val="24"/>
          <w:szCs w:val="24"/>
        </w:rPr>
        <w:t xml:space="preserve">The Pillar 3 cumulative disruption cost (€104.08 billion) and the Pillar 1 annual GDP at risk figure (€5.30 billion) are not comparable and should not be interpreted jointly. The former represents 75 years of accumulated operational flow losses under a no-adaptation assumption; the latter represents a snapshot of annual economic exposure at a given SLR threshold in a single year. Interpreting the two figures as additive, as ratios of one another, or as measuring the same underlying quantity would be methodologically incorrect. They are complementary measures that answer distinct policy questions: Pillar 1 characterises the annual productive capacity at risk of impairment; Pillar 3 characterises the multi-decade operational cost of infrastructure network degradation under a no-adaptation scenario. The appropriate comparison for Pillar 3 is not Pillar 1 GDP at risk but the adaptation CAPEX in Chapter 5: it is against the avoided disruption cost that the economic case for investment is assessed.</w:t>
      </w:r>
    </w:p>
    <w:p>
      <w:pPr>
        <w:spacing w:after="160" w:before="0" w:line="360"/>
        <w:jc w:val="both"/>
      </w:pPr>
      <w:r>
        <w:rPr>
          <w:rFonts w:ascii="Times New Roman" w:cs="Times New Roman" w:eastAsia="Times New Roman" w:hAnsi="Times New Roman"/>
          <w:sz w:val="24"/>
          <w:szCs w:val="24"/>
        </w:rPr>
        <w:t xml:space="preserve">Table 6.1 summarises the no-adaptation cumulative disruption costs for the nine disruption sections under SSP5-8.5/Baseline/mid (Portimão/Arade is excluded as an adapt-only section with no meaningful no-adaptation cost trajectory). The Port of Lisbon is the single largest cost contributor (€27.28 billion, 26.2% of the total), reflecting its position as Portugal’s largest container and general cargo terminal, its low quay-level exposure to Tagus estuary tidal flooding, and the high daily disruption rate associated with cargo throughput interruption. The three port sections collectively account for €55.44 billion (53.3% of total), the four railway sections for €36.85 billion (35.4%), and the two road sections for €11.79 billion (11.3%). The shift of the sectoral balance towards ports — compared with the prior eight-section configuration in which Aveiro dominated — reflects the exclusion of the Vasco da Gama Bridge south approach and the revision of the Aveiro analysis to Zone A only, together with the lower individual costs of the three new sections (A14 Mondego, Faro–Olhão, and Portimão/Arade). Among railway sections, the Mondego (€13.31 billion), Aveiro Ria Zone A (€11.74 billion), and Tagus floodplain (€11.69 billion) are the three largest contributors.</w:t>
      </w:r>
    </w:p>
    <w:p>
      <w:pPr>
        <w:spacing w:after="160" w:before="0" w:line="360"/>
        <w:jc w:val="both"/>
      </w:pPr>
      <w:r>
        <w:rPr>
          <w:rFonts w:ascii="Times New Roman" w:cs="Times New Roman" w:eastAsia="Times New Roman" w:hAnsi="Times New Roman"/>
          <w:sz w:val="24"/>
          <w:szCs w:val="24"/>
        </w:rPr>
        <w:t xml:space="preserve">Table 6.1: No-adaptation cumulative disruption cost by section, SSP5-8.5/Baseline/mid (2025–2100). Source: Chapter 4, Pillar 3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Section</w:t>
            </w:r>
          </w:p>
        </w:tc>
        <w:tc>
          <w:tcPr>
            <w:tcW w:type="dxa" w:w="1200"/>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Type</w:t>
            </w:r>
          </w:p>
        </w:tc>
        <w:tc>
          <w:tcPr>
            <w:tcW w:type="dxa" w:w="1800"/>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No-adapt cost
(€bn)</w:t>
            </w:r>
          </w:p>
        </w:tc>
        <w:tc>
          <w:tcPr>
            <w:tcW w:type="dxa" w:w="1400"/>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Share of
total</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Lisbon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27.28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26.2%</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Setúbal</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17.0%</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12.8%</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Aveiro Ria (Zone A)</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11.74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11.3%</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Tagus floodplain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11.69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11.2%</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Leixões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10.47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10.1%</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Road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6.20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6.0%</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A14 Mondego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Road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5.59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5.4%</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Faro–Olhão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104.08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100.0%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The tide gauge consistency check in Chapter 4 (§4.6–4.7) provided indicative support for the scenario framework by confirming that observed Portuguese sea-level trends from long-record tide gauge stations are directionally consistent with the IPCC AR6 scenario trajectories. The post-1993 observed trend at Leixões (+3.16 mm/yr) is directly consistent with the IPCC AR6 near-term SSP2-4.5 rate range (approximately 3–4 mm/yr over 2020–2030); the Sines trend (+5.06 mm/yr) lies somewhat above this range but remains directionally consistent with the accelerated sea-level rise pattern documented in the IPCC AR6 synthesis. Together, the two stations support the use of the selected scenarios as a plausible planning framework. The analysis was deliberately framed as a consistency check rather than a calibration or validation exercise: the short observational record relative to the scenarios’ planning horizon, and the inherent influence of local meteorological variability on tide gauge records, preclude robust causal inference from this comparison.</w:t>
      </w:r>
    </w:p>
    <w:p>
      <w:pPr>
        <w:pStyle w:val="Heading3"/>
        <w:spacing w:after="120" w:before="240" w:line="360"/>
      </w:pPr>
      <w:r>
        <w:rPr>
          <w:rFonts w:ascii="Times New Roman" w:cs="Times New Roman" w:eastAsia="Times New Roman" w:hAnsi="Times New Roman"/>
          <w:b/>
          <w:bCs/>
          <w:sz w:val="24"/>
          <w:szCs w:val="24"/>
        </w:rPr>
        <w:t xml:space="preserve">6.2.4  Adaptation Investment Portfolio</w:t>
      </w:r>
    </w:p>
    <w:p>
      <w:pPr>
        <w:spacing w:after="160" w:before="0" w:line="360"/>
        <w:jc w:val="both"/>
      </w:pPr>
      <w:r>
        <w:rPr>
          <w:rFonts w:ascii="Times New Roman" w:cs="Times New Roman" w:eastAsia="Times New Roman" w:hAnsi="Times New Roman"/>
          <w:sz w:val="24"/>
          <w:szCs w:val="24"/>
        </w:rPr>
        <w:t xml:space="preserve">Chapter 5 evaluated three adaptation options at each of the ten sections and identified a recommended portfolio based on cost-effectiveness within a savings-based break-even framework. Avoided-cost estimates are model-derived counterfactuals based on assumed adaptation effectiveness; the portfolio’s economic case should be understood in this context. The recommended portfolio has a total mid-estimate CAPEX of </w:t>
      </w:r>
      <w:r>
        <w:rPr>
          <w:rFonts w:ascii="Times New Roman" w:cs="Times New Roman" w:eastAsia="Times New Roman" w:hAnsi="Times New Roman"/>
          <w:b/>
          <w:bCs/>
          <w:sz w:val="24"/>
          <w:szCs w:val="24"/>
        </w:rPr>
        <w:t xml:space="preserve">€340 million</w:t>
      </w:r>
      <w:r>
        <w:rPr>
          <w:rFonts w:ascii="Times New Roman" w:cs="Times New Roman" w:eastAsia="Times New Roman" w:hAnsi="Times New Roman"/>
          <w:sz w:val="24"/>
          <w:szCs w:val="24"/>
        </w:rPr>
        <w:t xml:space="preserve"> (low: €240 million; high: €445 million), spanning targeted structural interventions at the three railway sections (coastal barrier at Aveiro Ria, flood barriers in the Tagus floodplain, and an in-situ viaduct at Mondego), an operational disruption management protocol at Faro–Olhão, managed retreat at Portimão/Arade, and low-cost operational protocols at all three ports and both road sections. Against a no-adaptation disruption cost of €104.08 billion, this represents a modelled 306:1 ratio of potential avoided disruption cost to adaptation investment within the study framework.</w:t>
      </w:r>
    </w:p>
    <w:p>
      <w:pPr>
        <w:spacing w:after="160" w:before="0" w:line="360"/>
        <w:jc w:val="both"/>
      </w:pPr>
      <w:r>
        <w:rPr>
          <w:rFonts w:ascii="Times New Roman" w:cs="Times New Roman" w:eastAsia="Times New Roman" w:hAnsi="Times New Roman"/>
          <w:sz w:val="24"/>
          <w:szCs w:val="24"/>
        </w:rPr>
        <w:t xml:space="preserve">Portfolio break-even years range from 2029 (A14 Mondego, SSP5-8.5/+Geoid) to 2080 (Portimão/Arade, SSP5-8.5/Baseline), confirming that cost-effective adaptation is indicated for all ten sections within the study horizon across the central scenario. The NPV sensitivity analysis demonstrated that these results are not materially sensitive to the choice of social discount rate between 0% and 3%, with a maximum break-even year shift of three years at the 3% rate (Mondego section). The geoid offset variant advances break-even years by 4–8 years across all sections, suggesting that IPCC AR6 baseline break-even years should be treated as a conservative upper bound in regions where coastal subsidence is a material factor.</w:t>
      </w:r>
    </w:p>
    <w:p>
      <w:pPr>
        <w:pStyle w:val="Heading2"/>
        <w:spacing w:after="160" w:before="400" w:line="360"/>
      </w:pPr>
      <w:r>
        <w:rPr>
          <w:rFonts w:ascii="Times New Roman" w:cs="Times New Roman" w:eastAsia="Times New Roman" w:hAnsi="Times New Roman"/>
          <w:b/>
          <w:bCs/>
          <w:sz w:val="26"/>
          <w:szCs w:val="26"/>
        </w:rPr>
        <w:t xml:space="preserve">6.3  Contributions to Knowledge</w:t>
      </w:r>
    </w:p>
    <w:p>
      <w:pPr>
        <w:spacing w:after="160" w:before="0" w:line="360"/>
        <w:jc w:val="both"/>
      </w:pPr>
      <w:r>
        <w:rPr>
          <w:rFonts w:ascii="Times New Roman" w:cs="Times New Roman" w:eastAsia="Times New Roman" w:hAnsi="Times New Roman"/>
          <w:sz w:val="24"/>
          <w:szCs w:val="24"/>
        </w:rPr>
        <w:t xml:space="preserve">This dissertation makes four principal contributions to the coastal risk assessment and infrastructure economics literature.</w:t>
      </w:r>
    </w:p>
    <w:p>
      <w:pPr>
        <w:spacing w:after="160" w:before="0" w:line="360"/>
        <w:jc w:val="both"/>
      </w:pPr>
      <w:r>
        <w:rPr>
          <w:rFonts w:ascii="Times New Roman" w:cs="Times New Roman" w:eastAsia="Times New Roman" w:hAnsi="Times New Roman"/>
          <w:sz w:val="24"/>
          <w:szCs w:val="24"/>
        </w:rPr>
        <w:t xml:space="preserve">First, it presents, to the author’s knowledge, the first comprehensive multi-pillar economic impact assessment of sea-level rise on Portuguese coastal infrastructure that integrates physical inundation modelling, asset replacement cost estimation, machine-learning risk typology, and a savings-based adaptation investment framework within a single consistent analytical pipeline. Previous Portuguese SLR studies (e.g. Ferreira et al., 2006; Coelho et al., 2009; Antunes, 2019) have tended to focus on physical exposure or national-scale economic exposure, without bridging to the infrastructure disruption cost level or the adaptation investment appraisal. The three-pillar framework developed here provides a replicable template for similar assessments in other small open economies with significant coastal infrastructure exposure.</w:t>
      </w:r>
    </w:p>
    <w:p>
      <w:pPr>
        <w:spacing w:after="160" w:before="0" w:line="360"/>
        <w:jc w:val="both"/>
      </w:pPr>
      <w:r>
        <w:rPr>
          <w:rFonts w:ascii="Times New Roman" w:cs="Times New Roman" w:eastAsia="Times New Roman" w:hAnsi="Times New Roman"/>
          <w:sz w:val="24"/>
          <w:szCs w:val="24"/>
        </w:rPr>
        <w:t xml:space="preserve">Second, the study operationalises the Seeger &amp; Minderhoud (2026) findings as a geoid/elevation-reference sensitivity layer within a national-scale SLR infrastructure risk framework, without treating this as a confirmed causal subsidence correction. The +Geoid variant — adding a conservative +0.15 m offset to IPCC AR6 projections — materially changes the timing and severity of risk for several sections and should be considered a standard sensitivity layer in future coastal infrastructure assessments for regions where vertical land motion is uncertain or likely negative. The systematic treatment of geoid offset as a named model variant, rather than an ad hoc adjustment, is a methodological contribution that makes the uncertainty transparent and the sensitivity results directly interpretable.</w:t>
      </w:r>
    </w:p>
    <w:p>
      <w:pPr>
        <w:spacing w:after="160" w:before="0" w:line="360"/>
        <w:jc w:val="both"/>
      </w:pPr>
      <w:r>
        <w:rPr>
          <w:rFonts w:ascii="Times New Roman" w:cs="Times New Roman" w:eastAsia="Times New Roman" w:hAnsi="Times New Roman"/>
          <w:sz w:val="24"/>
          <w:szCs w:val="24"/>
        </w:rPr>
        <w:t xml:space="preserve">Third, the application of K-Means clustering with a log1p pre-transformation to characterise coastal NUTS3 risk typologies offers a methodological contribution at the intersection of spatial data science and coastal economics. The cluster structure, supported by silhouette analysis and explained by interpretable feature combinations, provides a data-driven basis for prioritising adaptation resources across regional administrative units. The log1p transformation protocol addresses a common but underacknowledged challenge in clustering highly skewed socio-economic and environmental data, and the approach is readily transferable to other regional risk classification exercises.</w:t>
      </w:r>
    </w:p>
    <w:p>
      <w:pPr>
        <w:spacing w:after="160" w:before="0" w:line="360"/>
        <w:jc w:val="both"/>
      </w:pPr>
      <w:r>
        <w:rPr>
          <w:rFonts w:ascii="Times New Roman" w:cs="Times New Roman" w:eastAsia="Times New Roman" w:hAnsi="Times New Roman"/>
          <w:sz w:val="24"/>
          <w:szCs w:val="24"/>
        </w:rPr>
        <w:t xml:space="preserve">Fourth, the compound flood disruption cost model adapts the academic literature on compound flood frequency scaling (Moftakhari et al., 2017; Zscheischler et al., 2020) to an infrastructure disruption cost context, producing annual cost profiles suitable for break-even analysis without requiring dynamic hydrodynamic simulation. The model’s transparency and parametric simplicity make it applicable to infrastructure asset managers who require scenario-differentiated cost projections but do not have access to computational flood modelling resources. The explicit documentation of all model parameters and their derivation sources enables direct scrutiny and reproducibility.</w:t>
      </w:r>
    </w:p>
    <w:p>
      <w:pPr>
        <w:pStyle w:val="Heading2"/>
        <w:spacing w:after="160" w:before="400" w:line="360"/>
      </w:pPr>
      <w:r>
        <w:rPr>
          <w:rFonts w:ascii="Times New Roman" w:cs="Times New Roman" w:eastAsia="Times New Roman" w:hAnsi="Times New Roman"/>
          <w:b/>
          <w:bCs/>
          <w:sz w:val="26"/>
          <w:szCs w:val="26"/>
        </w:rPr>
        <w:t xml:space="preserve">6.4  Limitations</w:t>
      </w:r>
    </w:p>
    <w:p>
      <w:pPr>
        <w:spacing w:after="160" w:before="0" w:line="360"/>
        <w:jc w:val="both"/>
      </w:pPr>
      <w:r>
        <w:rPr>
          <w:rFonts w:ascii="Times New Roman" w:cs="Times New Roman" w:eastAsia="Times New Roman" w:hAnsi="Times New Roman"/>
          <w:sz w:val="24"/>
          <w:szCs w:val="24"/>
        </w:rPr>
        <w:t xml:space="preserve">The study has several important limitations that bound the interpretation of its findings.</w:t>
      </w:r>
    </w:p>
    <w:p>
      <w:pPr>
        <w:spacing w:after="160" w:before="0" w:line="360"/>
        <w:jc w:val="both"/>
      </w:pPr>
      <w:r>
        <w:rPr>
          <w:rFonts w:ascii="Times New Roman" w:cs="Times New Roman" w:eastAsia="Times New Roman" w:hAnsi="Times New Roman"/>
          <w:sz w:val="24"/>
          <w:szCs w:val="24"/>
        </w:rPr>
        <w:t xml:space="preserve">The most significant methodological limitation is the use of a static bathtub inundation model for the exposure analysis in Pillars 1 and 2. The bathtub approach assumes that all land below a given elevation threshold is inundated, without representing dynamic coastal processes such as wave run-up and storm surge, engineered flood defences, or drainage infrastructure. This approach may overestimate inundated area in sections where engineered defences would prevent full inundation, and may underestimate it where the bathtub model’s connectivity assumption fails for hydraulically connected but topographically discontinuous depressions. Throughout this study, inundation outputs are accordingly labelled “static inundation potential” rather than “inundation extent” to reflect this constraint.</w:t>
      </w:r>
    </w:p>
    <w:p>
      <w:pPr>
        <w:spacing w:after="160" w:before="0" w:line="360"/>
        <w:jc w:val="both"/>
      </w:pPr>
      <w:r>
        <w:rPr>
          <w:rFonts w:ascii="Times New Roman" w:cs="Times New Roman" w:eastAsia="Times New Roman" w:hAnsi="Times New Roman"/>
          <w:sz w:val="24"/>
          <w:szCs w:val="24"/>
        </w:rPr>
        <w:t xml:space="preserve">The compound flood model’s exponential acceleration parameter (k) is a modelling assumption rather than an empirically calibrated value. The default k = ln(2)/0.10 ≈ 6.93 m⁻¹ implies that flood return periods halve per additional 0.10 m of SLR, consistent with the empirical range reported by Moftakhari et al. (2017) rather than calibrated from Portuguese tide gauge or storm surge records. A parametric sensitivity analysis presented in Table 3.2 (Chapter 3) demonstrates that the aggregate Pillar 3 disruption cost under SSP5-8.5/Baseline is sensitive to k: varying k from approximately 5 m⁻¹ (k₁) to approximately 10 m⁻¹ (k₃) produces aggregate estimates ranging from approximately €40 billion to over €500 billion, with the central estimate of €104.08 billion at k₂ = 6.93 m⁻¹ consistent with the Moftakhari et al. (2017) empirical range. The wide absolute range reflects the threshold behaviour of the 365-day operational ceiling under high-emissions scenarios: sections that approach the ceiling under k₂ do so substantially earlier under k₃, accumulating additional decades of ceiling-level costs. The absolute magnitude of the disruption cost estimates should therefore be understood as k-dependent. Critically, however, preliminary sensitivity testing indicates that the relative ranking of sections and the economic case for adaptation remain stable across the k range considered: all ten sections remain cost-effective under all three k variants at the central discount rate, and the identification of Aveiro, Lisbon, and Setúbal as priority risk locations is not sensitive to the choice of k. Section-specific calibration of k from Portuguese hydrological records is identified as the highest-priority methodological extension in Section 6.6.</w:t>
      </w:r>
    </w:p>
    <w:p>
      <w:pPr>
        <w:spacing w:after="160" w:before="0" w:line="360"/>
        <w:jc w:val="both"/>
      </w:pPr>
      <w:r>
        <w:rPr>
          <w:b/>
        </w:rPr>
        <w:t xml:space="preserve">Mondego fluvial-tidal mechanism. </w:t>
      </w:r>
      <w:r>
        <w:t xml:space="preserve">A related and more specific limitation applies to the Mondego railway section (Alfarelos–Formoselha). This section floods through a fluvial-tidal compound mechanism — driven primarily by Mondego River discharge constrained by tidal backwater at the river mouth — rather than by direct coastal or estuarine inundation. The baseline return period (RP₀ = 4 years) is empirically calibrated from observed historical closures rather than derived from a physical elevation threshold. The compound flood sensitivity parameter k is applied as a first-order proxy for increasing tidal backwater constraint under rising sea levels, which is physically justified but analytically distinct from the elevation-threshold mechanism used for all other sections. A fully rigorous treatment of the Mondego section would require a site-specific fluvial-tidal model integrating Mondego River discharge climatology, estuary hydrodynamics, and projected sea-level forcing — a scope beyond the present study. The empirical calibration from observed events provides a defensible first-order estimate, but the compound flood frequency projections for this section carry greater uncertainty than those for the coastal and estuarine sections where the physical flood mechanism is more directly linked to sea-level rise.</w:t>
      </w:r>
    </w:p>
    <w:p>
      <w:pPr>
        <w:spacing w:after="160" w:before="0" w:line="360"/>
        <w:jc w:val="both"/>
      </w:pPr>
      <w:r>
        <w:rPr>
          <w:rFonts w:ascii="Times New Roman" w:cs="Times New Roman" w:eastAsia="Times New Roman" w:hAnsi="Times New Roman"/>
          <w:sz w:val="24"/>
          <w:szCs w:val="24"/>
        </w:rPr>
        <w:t xml:space="preserve">The adaptation CAPEX figures used in Chapter 5 are engineering-informed indicative estimates, not detailed project cost appraisals. They are drawn from published coastal protection cost studies and analogous Portuguese infrastructure hardening projects, but have not been validated by engineering feasibility studies for the specific sites and conditions considered here. The adaptation effectiveness assumptions — structural options eliminate disruption until their design threshold is exceeded; operational options reduce disruption by 40–60% — are analytical rules, not empirically calibrated causal effects. The avoided-cost estimates in Chapter 5 are therefore model-derived counterfactuals, and break-even years should be interpreted as indicative planning outputs. Real-world implementation would require site-specific engineering assessment, multi-stakeholder engagement, and construction timelines that this study does not model.</w:t>
      </w:r>
    </w:p>
    <w:p>
      <w:pPr>
        <w:spacing w:after="160" w:before="0" w:line="360"/>
        <w:jc w:val="both"/>
      </w:pPr>
      <w:r>
        <w:rPr>
          <w:rFonts w:ascii="Times New Roman" w:cs="Times New Roman" w:eastAsia="Times New Roman" w:hAnsi="Times New Roman"/>
          <w:sz w:val="24"/>
          <w:szCs w:val="24"/>
        </w:rPr>
        <w:t xml:space="preserve">The GDP exposure estimates in Pillar 1 use NUTS3-level GDP data allocated uniformly across the inundated area within each region, without population-weighting or land-use-specific economic density mapping. This likely materially underestimates exposure in economically dense coastal municipalities and overestimates it in low-density rural coastal areas within the same NUTS3 boundary. A more granular approach using GHSL population grids or national land-use data to weight GDP spatially within NUTS3 units would improve the precision of the Pillar 1 estimates, and is identified as a priority for further work in Section 6.6.</w:t>
      </w:r>
    </w:p>
    <w:p>
      <w:pPr>
        <w:spacing w:after="160" w:before="0" w:line="360"/>
        <w:jc w:val="both"/>
      </w:pPr>
      <w:r>
        <w:rPr>
          <w:rFonts w:ascii="Times New Roman" w:cs="Times New Roman" w:eastAsia="Times New Roman" w:hAnsi="Times New Roman"/>
          <w:sz w:val="24"/>
          <w:szCs w:val="24"/>
        </w:rPr>
        <w:t xml:space="preserve">Finally, the study quantifies only the direct operational disruption costs captured within the compound flood and DDR framework: track closures, port downtime, and road unavailability. It does not quantify indirect or second-order costs such as supply chain disruption propagating through input-output linkages, labour market effects of commuter route loss, modal shift costs, or the welfare consequences of multi-week port closures. These second-order costs may be material — particularly for the Port of Lisbon and the Tagus floodplain railway section, where the network effects of disruption extend well beyond the immediate closure event — and their omission means that the €104.08 billion direct disruption estimate likely understates the full economic cost of inaction; it should not be taken as a comprehensive measure of the economy-wide consequence of inaction within the study framework.</w:t>
      </w:r>
    </w:p>
    <w:p>
      <w:pPr>
        <w:pStyle w:val="Heading2"/>
        <w:spacing w:after="160" w:before="400" w:line="360"/>
      </w:pPr>
      <w:r>
        <w:rPr>
          <w:rFonts w:ascii="Times New Roman" w:cs="Times New Roman" w:eastAsia="Times New Roman" w:hAnsi="Times New Roman"/>
          <w:b/>
          <w:bCs/>
          <w:sz w:val="26"/>
          <w:szCs w:val="26"/>
        </w:rPr>
        <w:t xml:space="preserve">6.5  Policy Implications</w:t>
      </w:r>
    </w:p>
    <w:p>
      <w:pPr>
        <w:spacing w:after="160" w:before="0" w:line="360"/>
        <w:jc w:val="both"/>
      </w:pPr>
      <w:r>
        <w:rPr>
          <w:rFonts w:ascii="Times New Roman" w:cs="Times New Roman" w:eastAsia="Times New Roman" w:hAnsi="Times New Roman"/>
          <w:sz w:val="24"/>
          <w:szCs w:val="24"/>
        </w:rPr>
        <w:t xml:space="preserve">The findings of this dissertation carry several concrete policy implications for Portuguese infrastructure planning and coastal adaptation governance.</w:t>
      </w:r>
    </w:p>
    <w:p>
      <w:pPr>
        <w:spacing w:after="160" w:before="0" w:line="360"/>
        <w:jc w:val="both"/>
      </w:pPr>
      <w:r>
        <w:rPr>
          <w:rFonts w:ascii="Times New Roman" w:cs="Times New Roman" w:eastAsia="Times New Roman" w:hAnsi="Times New Roman"/>
          <w:sz w:val="24"/>
          <w:szCs w:val="24"/>
        </w:rPr>
        <w:t xml:space="preserve">The most time-sensitive implication concerns the Aveiro Ria section. Under the geoid-adjusted trajectory, the break-even year for track raising (€80 million mid-CAPEX) is 2029 — just four years after the reference investment date — and Zone B faces the risk of permanent barrier breach as early as 2035–2040. Infraestruturas de Portugal (IP) and ANPC should treat the Aveiro section as a near-term infrastructure resilience priority and initiate engineering feasibility and environmental impact assessment processes. The binary nature of the barrier-breach threshold creates an option-value asymmetry: delaying action until breach is confirmed substantially raises the cost of the remaining structural options, and forecloses the lowest-CAPEX intervention (track raising) which requires pre-breach access.</w:t>
      </w:r>
    </w:p>
    <w:p>
      <w:pPr>
        <w:spacing w:after="160" w:before="0" w:line="360"/>
        <w:jc w:val="both"/>
      </w:pPr>
      <w:r>
        <w:rPr>
          <w:rFonts w:ascii="Times New Roman" w:cs="Times New Roman" w:eastAsia="Times New Roman" w:hAnsi="Times New Roman"/>
          <w:sz w:val="24"/>
          <w:szCs w:val="24"/>
        </w:rPr>
        <w:t xml:space="preserve">For the three port sections, the finding that low-cost operational protocols dominate structural options in the near term has a direct institutional implication: the appropriate first-mover investment is not engineering procurement but protocol design and stakeholder coordination. The Administração do Porto de Lisboa (APL), APDL, and the Administração dos Portos de Setúbal e Sesimbra (APSS) should each initiate the design of pre-positioned contingency protocols, cargo diversion agreements with alternative ports (principally Sines), and real-time tidal alert systems. These investments, totalling €43 million across the three ports at mid-estimate, require primarily institutional rather than engineering resources and can be initiated within normal planning cycles. Structural port investments should be scheduled for review at 10-year intervals as SLR projections are updated.</w:t>
      </w:r>
    </w:p>
    <w:p>
      <w:pPr>
        <w:spacing w:after="160" w:before="0" w:line="360"/>
        <w:jc w:val="both"/>
      </w:pPr>
      <w:r>
        <w:rPr>
          <w:rFonts w:ascii="Times New Roman" w:cs="Times New Roman" w:eastAsia="Times New Roman" w:hAnsi="Times New Roman"/>
          <w:sz w:val="24"/>
          <w:szCs w:val="24"/>
        </w:rPr>
        <w:t xml:space="preserve">The shared Tagus estuary investment opportunity warrants a dedicated multi-stakeholder feasibility study. The combined no-adaptation exposure of the Tagus railway section (€11.69 billion) and the Port of Lisbon (€27.3 billion) totals €38.97 billion, representing the single largest combined benefit pool in the portfolio. A shared estuary-scale flood barrier, designed jointly by IP, APL, ANPC, APA, and the Lisbon metropolitan authority, could address both exposures at potentially lower combined CAPEX than the sum of the individual recommended measures. The relevant stakeholders should commission a joint engineering and economic feasibility study as a priority.</w:t>
      </w:r>
    </w:p>
    <w:p>
      <w:pPr>
        <w:spacing w:after="160" w:before="0" w:line="360"/>
        <w:jc w:val="both"/>
      </w:pPr>
      <w:r>
        <w:rPr>
          <w:rFonts w:ascii="Times New Roman" w:cs="Times New Roman" w:eastAsia="Times New Roman" w:hAnsi="Times New Roman"/>
          <w:sz w:val="24"/>
          <w:szCs w:val="24"/>
        </w:rPr>
        <w:t xml:space="preserve">More broadly, the dissertation highlights the need to embed IPCC AR6 SLR scenario planning into Portuguese infrastructure investment governance. The current national infrastructure planning framework (Plano Nacional de Investimentos 2030) does not explicitly incorporate SLR scenarios as a design standard for coastal infrastructure. Given that all ten sections in this analysis are existing national assets with design lives extending to 2050 and beyond, their refurbishment and maintenance cycles should incorporate SLR resilience as a baseline design criterion. The Environmental Impact Assessment and Strategic Environmental Assessment processes should require explicit SLR sensitivity analysis for any coastal infrastructure project with a design life of 30 years or more.</w:t>
      </w:r>
    </w:p>
    <w:p>
      <w:pPr>
        <w:pStyle w:val="Heading2"/>
        <w:spacing w:after="160" w:before="400" w:line="360"/>
      </w:pPr>
      <w:r>
        <w:rPr>
          <w:rFonts w:ascii="Times New Roman" w:cs="Times New Roman" w:eastAsia="Times New Roman" w:hAnsi="Times New Roman"/>
          <w:b/>
          <w:bCs/>
          <w:sz w:val="26"/>
          <w:szCs w:val="26"/>
        </w:rPr>
        <w:t xml:space="preserve">6.6  Directions for Further Research</w:t>
      </w:r>
    </w:p>
    <w:p>
      <w:pPr>
        <w:spacing w:after="160" w:before="0" w:line="360"/>
        <w:jc w:val="both"/>
      </w:pPr>
      <w:r>
        <w:rPr>
          <w:rFonts w:ascii="Times New Roman" w:cs="Times New Roman" w:eastAsia="Times New Roman" w:hAnsi="Times New Roman"/>
          <w:sz w:val="24"/>
          <w:szCs w:val="24"/>
        </w:rPr>
        <w:t xml:space="preserve">Several directions for further research follow naturally from the limitations identified in Section 6.4.</w:t>
      </w:r>
    </w:p>
    <w:p>
      <w:pPr>
        <w:spacing w:after="160" w:before="0" w:line="360"/>
        <w:jc w:val="both"/>
      </w:pPr>
      <w:r>
        <w:rPr>
          <w:rFonts w:ascii="Times New Roman" w:cs="Times New Roman" w:eastAsia="Times New Roman" w:hAnsi="Times New Roman"/>
          <w:sz w:val="24"/>
          <w:szCs w:val="24"/>
        </w:rPr>
        <w:t xml:space="preserve">The most consequential methodological upgrade would be the replacement of the static bathtub inundation model with a dynamic coastal flood model such as Delft3D-FM or LISFLOOD-FP, calibrated to Portuguese tide gauge records and storm surge climatology. A dynamic model would incorporate wave run-up, barrier and drainage effects, and coastal geomorphological change, producing more physically realistic inundation extents directly comparable with observed flood events at the ten section locations. The focused application of dynamic modelling at the section scale — rather than nationally — would limit the computational cost while substantially improving the physical realism of the inundation inputs to the disruption cost model.</w:t>
      </w:r>
    </w:p>
    <w:p>
      <w:pPr>
        <w:spacing w:after="160" w:before="0" w:line="360"/>
        <w:jc w:val="both"/>
      </w:pPr>
      <w:r>
        <w:rPr>
          <w:rFonts w:ascii="Times New Roman" w:cs="Times New Roman" w:eastAsia="Times New Roman" w:hAnsi="Times New Roman"/>
          <w:sz w:val="24"/>
          <w:szCs w:val="24"/>
        </w:rPr>
        <w:t xml:space="preserve">A second important extension would be the empirical calibration of the compound flood model’s acceleration parameter (k) using Portuguese tide gauge records and historical flood event data. A statistical analysis of the relationship between observed SLR increments and changes in flood event frequency at the nine disruption-cost sections would produce site-specific k estimates that replace the current theoretical default. The Portuguese tide gauge network, with long-record stations at Cascais, Lagos, and Viana do Castelo, provides a foundation for this calibration, though the record length may constrain statistical power for the most extreme return period estimates. A parametric sensitivity analysis across a range of plausible k values would, in the interim, characterise the model’s cost estimate uncertainty more transparently.</w:t>
      </w:r>
    </w:p>
    <w:p>
      <w:pPr>
        <w:spacing w:after="160" w:before="0" w:line="360"/>
        <w:jc w:val="both"/>
      </w:pPr>
      <w:r>
        <w:rPr>
          <w:rFonts w:ascii="Times New Roman" w:cs="Times New Roman" w:eastAsia="Times New Roman" w:hAnsi="Times New Roman"/>
          <w:sz w:val="24"/>
          <w:szCs w:val="24"/>
        </w:rPr>
        <w:t xml:space="preserve">Third, the adaptation CAPEX estimates should be refined through site-specific engineering pre-feasibility studies at the highest-priority sections. For the Aveiro Ria section, the urgency of early structural commitment justifies commissioning a dedicated coastal engineering assessment of the track-raising and barrier-reinforcement options, incorporating detailed topographic and bathymetric survey data, structural condition assessment of existing track infrastructure, and a construction logistics analysis that accounts for the operational constraints of maintaining rail service during construction.</w:t>
      </w:r>
    </w:p>
    <w:p>
      <w:pPr>
        <w:spacing w:after="160" w:before="0" w:line="360"/>
        <w:jc w:val="both"/>
      </w:pPr>
      <w:r>
        <w:rPr>
          <w:rFonts w:ascii="Times New Roman" w:cs="Times New Roman" w:eastAsia="Times New Roman" w:hAnsi="Times New Roman"/>
          <w:sz w:val="24"/>
          <w:szCs w:val="24"/>
        </w:rPr>
        <w:t xml:space="preserve">Fourth, the GDP exposure analysis in Pillar 1 should be extended using spatially disaggregated economic data. The integration of GHSL population grids or Portuguese Census 2021 micro-data with national land-use maps would allow GDP to be allocated to coastal grid cells at sub-NUTS3 resolution, substantially improving the precision of the exposure estimates and enabling direct comparison with the section-level disruption cost estimates in Pillar 3.</w:t>
      </w:r>
    </w:p>
    <w:p>
      <w:pPr>
        <w:spacing w:after="160" w:before="0" w:line="360"/>
        <w:jc w:val="both"/>
      </w:pPr>
      <w:r>
        <w:rPr>
          <w:rFonts w:ascii="Times New Roman" w:cs="Times New Roman" w:eastAsia="Times New Roman" w:hAnsi="Times New Roman"/>
          <w:sz w:val="24"/>
          <w:szCs w:val="24"/>
        </w:rPr>
        <w:t xml:space="preserve">Fifth, an input-output or Social Accounting Matrix extension of the disruption cost framework would allow the indirect GDP effects of port downtime and railway closure to be quantified, including supply chain cascades, production losses in port-dependent industries such as automotive manufacturing at Volkswagen Palmela, and modal shift costs. This extension would produce cost estimates more directly comparable to the project appraisal methods used in Portuguese public investment evaluation (ANSR, 2021) and would substantially enrich the economic case for adaptation presented in Chapter 5.</w:t>
      </w:r>
    </w:p>
    <w:p>
      <w:pPr>
        <w:spacing w:after="160" w:before="0" w:line="360"/>
        <w:jc w:val="both"/>
      </w:pPr>
      <w:r>
        <w:rPr>
          <w:rFonts w:ascii="Times New Roman" w:cs="Times New Roman" w:eastAsia="Times New Roman" w:hAnsi="Times New Roman"/>
          <w:sz w:val="24"/>
          <w:szCs w:val="24"/>
        </w:rPr>
        <w:t xml:space="preserve">Finally, the study horizon could be extended beyond 2100 to address the tail-risk scenarios associated with ice sheet instability that are not fully represented in the IPCC AR6 likely range. Under high-end SLR scenarios — such as the IPCC AR6 low-confidence range of 1.5–2.5 m by 2100 — sections that show manageable disruption profiles within the current horizon may face qualitatively different risk levels. A Monte Carlo treatment of ice sheet instability scenarios would allow the expected value of adaptation under deep uncertainty to be assessed, providing a more complete picture of the long-run investment case.</w:t>
      </w:r>
    </w:p>
    <w:p>
      <w:pPr>
        <w:spacing w:after="160" w:before="0" w:line="360"/>
        <w:jc w:val="both"/>
      </w:pPr>
      <w:r>
        <w:rPr>
          <w:rFonts w:ascii="Times New Roman" w:cs="Times New Roman" w:eastAsia="Times New Roman" w:hAnsi="Times New Roman"/>
          <w:sz w:val="24"/>
          <w:szCs w:val="24"/>
        </w:rPr>
        <w:t xml:space="preserve">Seventh, wastewater treatment infrastructure in the Ria Formosa perimeter — specifically the ETAR Faro/Olhão facility (also known as ETAR da Companheira), which occupies very low-elevation terrain at the margin of the Natura 2000 Ria Formosa lagoon — was identified as potentially at risk during the scoping phase of this study but falls outside the economic disruption framework applied in Pillar 3. A flood event at this facility would risk raw sewage discharge into a protected marine environment, creating environmental and public health costs not captured by the DDR methodology. ETAR Olhão presents a similar exposure profile. Environmental impact quantification of both facilities under projected SLR scenarios — including ecological damage cost estimation for the Ria Formosa Natura 2000 site — is recommended as a complementary direction for research at the intersection of coastal risk and environmental economics.</w:t>
      </w:r>
    </w:p>
    <w:p>
      <w:pPr>
        <w:spacing w:after="160" w:before="0" w:line="360"/>
        <w:jc w:val="both"/>
      </w:pPr>
      <w:r>
        <w:rPr>
          <w:rFonts w:ascii="Times New Roman" w:cs="Times New Roman" w:eastAsia="Times New Roman" w:hAnsi="Times New Roman"/>
          <w:sz w:val="24"/>
          <w:szCs w:val="24"/>
        </w:rPr>
        <w:t xml:space="preserve">Eighth, the Portimão/Arade estuary section presents an analytically distinct case that the standard disruption cost framework is not designed to address. With a minimum elevation of 0.585 m MSL — below current mean high water spring levels — the section can be modelled as already functionally compromised under present-day tidal conditions, making a meaningful no-adaptation cost trajectory impossible to construct. This represents a case of climate-driven infrastructure obsolescence: an asset that requires not incremental adaptation but structural intervention to restore operability. Future research should treat assets in this category as a distinct analytical class — requiring existential adaptation assessment and option-value analysis rather than the disruption cost framework appropriate for sections where inundation is a future rather than current condition — and develop methods for quantifying the replacement cost and timing optionality of early structural intervention at sites already below current tidal thresholds.</w:t>
      </w:r>
    </w:p>
    <w:p>
      <w:pPr>
        <w:pStyle w:val="Heading2"/>
        <w:spacing w:after="160" w:before="400" w:line="360"/>
      </w:pPr>
      <w:r>
        <w:rPr>
          <w:rFonts w:ascii="Times New Roman" w:cs="Times New Roman" w:eastAsia="Times New Roman" w:hAnsi="Times New Roman"/>
          <w:b/>
          <w:bCs/>
          <w:sz w:val="26"/>
          <w:szCs w:val="26"/>
        </w:rPr>
        <w:t xml:space="preserve">6.7  Conclusions</w:t>
      </w:r>
    </w:p>
    <w:p>
      <w:pPr>
        <w:spacing w:after="160" w:before="0" w:line="360"/>
        <w:jc w:val="both"/>
      </w:pPr>
      <w:r>
        <w:rPr>
          <w:rFonts w:ascii="Times New Roman" w:cs="Times New Roman" w:eastAsia="Times New Roman" w:hAnsi="Times New Roman"/>
          <w:sz w:val="24"/>
          <w:szCs w:val="24"/>
        </w:rPr>
        <w:t xml:space="preserve">This dissertation has demonstrated that sea-level rise poses a material and quantifiable economic threat to Portugal’s coastal infrastructure network under all three IPCC AR6 scenarios considered. Using a three-pillar analytical framework — static inundation mapping, asset replacement cost estimation, and compound flood disruption cost modelling — the study has produced a comprehensive set of quantitative estimates for the GDP exposure, physical infrastructure risk, and economic disruption costs associated with SLR across the 2025–2100 horizon.</w:t>
      </w:r>
    </w:p>
    <w:p>
      <w:pPr>
        <w:spacing w:after="160" w:before="0" w:line="360"/>
        <w:jc w:val="both"/>
      </w:pPr>
      <w:r>
        <w:rPr>
          <w:rFonts w:ascii="Times New Roman" w:cs="Times New Roman" w:eastAsia="Times New Roman" w:hAnsi="Times New Roman"/>
          <w:sz w:val="24"/>
          <w:szCs w:val="24"/>
        </w:rPr>
        <w:t xml:space="preserve">The key quantitative conclusions are threefold. First, approximately €5.30 billion of GDP in 12 coastal NUTS3 regions is exposed to SLR inundation under SSP5-8.5/Baseline conditions by 2100, rising to €6.35 billion under the geoid-adjusted sensitivity variant. Second, the modelled no-adaptation cumulative disruption cost across ten critical infrastructure sections (nine modelled for disruption costs) totals €104.08 billion under SSP5-8.5/Baseline/mid over the study horizon — a figure dominated by the Port of Lisbon (€27.28 billion), the Port of Setúbal (€17.69 billion), and the Mondego railway section (€13.31 billion). Third, a recommended adaptation portfolio requiring €340 million of mid-estimate CAPEX is indicated as cost-effective across all ten sections considered, including the nine disruption-cost sections and the Portimão/Arade adapt-only case, with break-even years ranging from 2029 to 2080 under the central scenario.</w:t>
      </w:r>
    </w:p>
    <w:p>
      <w:pPr>
        <w:spacing w:after="160" w:before="0" w:line="360"/>
        <w:jc w:val="both"/>
      </w:pPr>
      <w:r>
        <w:rPr>
          <w:rFonts w:ascii="Times New Roman" w:cs="Times New Roman" w:eastAsia="Times New Roman" w:hAnsi="Times New Roman"/>
          <w:sz w:val="24"/>
          <w:szCs w:val="24"/>
        </w:rPr>
        <w:t xml:space="preserve">Two structural insights emerge from the disaggregated Pillar 3 results that are not visible from the headline figure alone. First, infrastructure disruption risk is driven more by network chokepoints than by total exposure: the three highest-cost sections (Port of Lisbon, Port of Setúbal, and Mondego) account for approximately 56% of cumulative disruption cost despite representing only three of nine disruption sections. This concentration reflects the compounding interaction between low section elevation, high baseline flood frequency, and high daily throughput value — a profile that is not uniformly distributed across the network. Second, disruption costs are non-linear in time: under SSP5-8.5, cost accumulation is back-loaded, with a disproportionate share of total cost accruing after 2075 when SLR begins to intersect the critical elevation thresholds of the more elevated sections. This non-linearity has direct implications for adaptation timing: sections that appear manageable in near-term cost assessments may cross irreversibility thresholds rapidly, narrowing the window for cost-effective structural intervention.</w:t>
      </w:r>
    </w:p>
    <w:p>
      <w:pPr>
        <w:spacing w:after="160" w:before="0" w:line="360"/>
        <w:jc w:val="both"/>
      </w:pPr>
      <w:r>
        <w:rPr>
          <w:rFonts w:ascii="Times New Roman" w:cs="Times New Roman" w:eastAsia="Times New Roman" w:hAnsi="Times New Roman"/>
          <w:sz w:val="24"/>
          <w:szCs w:val="24"/>
        </w:rPr>
        <w:t xml:space="preserve">The cross-cutting finding that emerges from the adaptation analysis is the dominance of low-CAPEX operational measures for port and road sections. All three ports and both road sections are best served — within the avoided-disruption framework used here — by operational protocol investments costing between €8 million and €17 million, achieving break-even years comparable to or earlier than structural options at a fraction of their cost. This finding has immediate practical relevance: a large proportion of the portfolio’s economic benefit can be captured through institutional and protocol investments that do not require lengthy engineering procurement cycles, and can therefore be initiated without waiting for detailed feasibility studies or national infrastructure plan revisions.</w:t>
      </w:r>
    </w:p>
    <w:p>
      <w:pPr>
        <w:spacing w:after="160" w:before="0" w:line="360"/>
        <w:jc w:val="both"/>
      </w:pPr>
      <w:r>
        <w:rPr>
          <w:rFonts w:ascii="Times New Roman" w:cs="Times New Roman" w:eastAsia="Times New Roman" w:hAnsi="Times New Roman"/>
          <w:sz w:val="24"/>
          <w:szCs w:val="24"/>
        </w:rPr>
        <w:t xml:space="preserve">The dissertation also highlights the importance of the geoid offset as a planning sensitivity. The Seeger &amp; Minderhoud (2026) +0.15 m offset, while conservative relative to the full range of estimates in that study, systematically advances break-even years by 4–8 years across all sections and would, if confirmed by updated national geodetic surveys, materially accelerate the timing of indicated adaptation across the entire portfolio. Infrastructure managers and regulators should treat IPCC AR6 baseline SLR projections as a lower bound for adaptation planning purposes and incorporate geoid-adjusted sensitivity scenarios as standard practice in long-horizon infrastructure investment appraisal.</w:t>
      </w:r>
    </w:p>
    <w:p>
      <w:pPr>
        <w:spacing w:after="160" w:before="0" w:line="360"/>
        <w:jc w:val="both"/>
      </w:pPr>
      <w:r>
        <w:rPr>
          <w:rFonts w:ascii="Times New Roman" w:cs="Times New Roman" w:eastAsia="Times New Roman" w:hAnsi="Times New Roman"/>
          <w:sz w:val="24"/>
          <w:szCs w:val="24"/>
        </w:rPr>
        <w:t xml:space="preserve">Taken together, the findings of this dissertation support a clear planning conclusion: cost-effective adaptation to sea-level rise appears available for all ten sections considered, at costs that are small relative to the modelled disruption costs they are designed to avoid. This conclusion holds across all IPCC AR6 scenarios examined and across the full range of discount rates considered in standard EU public project appraisal. The most urgent near-term action is the initiation of adaptation planning processes — particularly at the Aveiro Ria section, where the window for cost-effective structural intervention is narrow, and at the Tagus estuary, where a shared investment opportunity of significant scale warrants coordinated multi-stakeholder assessment.</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2026-05-02T10:59:46.415Z</dcterms:created>
  <dcterms:modified xsi:type="dcterms:W3CDTF">2026-05-02T10:59:46.415Z</dcterms:modified>
</cp:coreProperties>
</file>

<file path=docProps/custom.xml><?xml version="1.0" encoding="utf-8"?>
<Properties xmlns="http://schemas.openxmlformats.org/officeDocument/2006/custom-properties" xmlns:vt="http://schemas.openxmlformats.org/officeDocument/2006/docPropsVTypes"/>
</file>