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637B" w:rsidRDefault="00000000">
      <w:pPr>
        <w:pStyle w:val="Ttulo1"/>
        <w:spacing w:line="360" w:lineRule="auto"/>
      </w:pPr>
      <w:r>
        <w:t>Capítulo 1: Introdução</w:t>
      </w:r>
    </w:p>
    <w:p w:rsidR="00FB637B" w:rsidRDefault="00000000">
      <w:pPr>
        <w:pStyle w:val="Ttulo2"/>
        <w:spacing w:line="360" w:lineRule="auto"/>
      </w:pPr>
      <w:r>
        <w:t>1.1  Enquadramento: A Subida do Nível do Mar como Desafio Económico Global</w:t>
      </w:r>
    </w:p>
    <w:p w:rsidR="00FB637B" w:rsidRDefault="00000000">
      <w:pPr>
        <w:spacing w:after="160" w:line="360" w:lineRule="auto"/>
        <w:jc w:val="both"/>
      </w:pPr>
      <w:r>
        <w:t>Esta dissertação é apresentada como requisito parcial para a obtenção do MBA em Data Science pela Universidade Autónoma de Lisboa. Aplica os métodos centrais desse programa — extração, transformação e análise de dados, aprendizagem automática, inferência estatística e visualização interativa — a uma questão de política pública de relevância nacional: a quantificação do custo macroeconómico e infraestrutural da subida do nível do mar na costa continental portuguesa. A subida do nível do mar (SNM) é uma das consequências físicas mais relevantes das alterações climáticas de origem antropogénica. O nível médio global do mar subiu a uma taxa média de aproximadamente 1,3 mm/ano ao longo do século XX, antes de acelerar para 3,7 mm/ano na era da altimetria por satélite (1993–2018), impulsionado pela expansão térmica das águas oceânicas e pela perda acelerada de massa dos mantos de gelo da Gronelândia e da Antártida (Fox-Kemper et al., 2021). O Sexto Relatório de Avaliação do Painel Intergovernamental sobre Alterações Climáticas (IPCC AR6) projeta que, num cenário de emissões elevadas compatível com a continuação da dependência intensiva dos combustíveis fósseis (SSP5-8.5), a SNM média global acima da referência de 2020 poderá atingir 0,63–1,02 metros em 2100, com uma probabilidade baixa de contribuições de elevado impacto dos mantos de gelo potencialmente superiores a 1,5 metros. Mesmo num cenário de mitigação otimista (SSP1-2.6), a SNM projetada de 0,32–0,62 metros implica uma mudança fundamental e sustentada nas condições físicas de fronteira que governam o ordenamento costeiro, o dimensionamento das infraestruturas e o planeamento económico.</w:t>
      </w:r>
    </w:p>
    <w:p w:rsidR="00FB637B" w:rsidRDefault="00000000">
      <w:pPr>
        <w:spacing w:after="160" w:line="360" w:lineRule="auto"/>
        <w:jc w:val="both"/>
      </w:pPr>
      <w:r>
        <w:t xml:space="preserve">As implicações económicas desta trajetória são substanciais. À escala global, as zonas costeiras de baixa altitude albergam aproximadamente 10% da população mundial e uma quota desproporcionada da produção económica nacional, das infraestruturas comerciais e logísticas e das redes de serviços essenciais (Nicholls &amp; Cazenave, 2010). Hinkel et al. (2014) estimaram que, sem adaptação, as perdas anuais globais por inundação costeira poderiam atingir 100 000 mil milhões de dólares em 2100 num cenário de SNM elevada — valor que não reflete apenas danos diretos em ativos físicos, mas a perturbação mais ampla de cadeias de abastecimento, fluxos comerciais e capacidade produtiva. No contexto europeu, Vousdoukas et al. (2018) projetaram que os danos por inundação costeira nos Estados-Membros da UE poderiam aumentar de aproximadamente 1,25 mil milhões de euros por ano em 2000 para entre 93 e 961 mil milhões de euros por ano em 2100, em função do cenário de emissões e do grau de resposta </w:t>
      </w:r>
      <w:r>
        <w:lastRenderedPageBreak/>
        <w:t>adaptativa. Estas projeções estabelecem que o custo económico da SNM não é uma preocupação distante ou marginal: trata-se de um risco económico material e crescente que exige quantificação à escala nacional para fundamentar atempadamente investimentos em adaptação.</w:t>
      </w:r>
    </w:p>
    <w:p w:rsidR="00FB637B" w:rsidRDefault="00000000">
      <w:pPr>
        <w:spacing w:after="160" w:line="360" w:lineRule="auto"/>
        <w:jc w:val="both"/>
      </w:pPr>
      <w:r>
        <w:t>As infraestruturas de transporte críticas — portos, linhas ferroviárias e autoestradas — estão concentradas de forma desproporcional em zonas costeiras e estuarinas, refletindo séculos de padrões de povoamento orientados para o comércio marítimo. Estas infraestruturas são dimensionadas para vidas úteis operacionais de 50 a 100 anos e, por isso, enfrentam uma exposição crescente à SNM ao longo da segunda metade do século. As consequências económicas das perturbações estendem-se muito além dos danos físicos diretos: cheias compostas — resultantes da coincidência entre níveis elevados do mar, sobrelevação meteorológica, forçamento mareal e caudal fluvial — podem encerrar temporariamente nós estratégicos de transporte, gerando interrupções nas cadeias de abastecimento, perdas de produção em indústrias dependentes e custos de transferência modal que podem superar substancialmente o custo de substituição do ativo inundado (Moftakhari et al., 2017). À medida que o nível do mar sobe, o período de retorno destes eventos comprime-se exponencialmente, transformando o que são hoje perturbações decenais em ocorrências anuais ou semestrais dentro do horizonte temporal do estudo.</w:t>
      </w:r>
    </w:p>
    <w:p w:rsidR="00FB637B" w:rsidRDefault="00000000">
      <w:pPr>
        <w:spacing w:after="160" w:line="360" w:lineRule="auto"/>
        <w:jc w:val="both"/>
      </w:pPr>
      <w:r>
        <w:t>Apesar do amplo consenso científico sobre a trajetória física da SNM, a tradução dessa trajetória em estimativas de custos económicos específicas para cada país — a forma de evidência mais diretamente acionável por gestores de infraestruturas e decisores políticos — permanece incompleta para grande parte do mundo, incluindo Portugal. Sem estimativas credíveis e de base nacional do custo acumulado da inação, em comparação com a despesa de capital necessária para proteger ativos críticos, o investimento atempado em adaptação não pode ser eficientemente priorizado, sequenciado ou justificado perante financiadores, decisores políticos e cidadãos. Este estudo é motivado por essa lacuna de evidência e visa colmatá-la no contexto da costa continental portuguesa.</w:t>
      </w:r>
    </w:p>
    <w:p w:rsidR="00FB637B" w:rsidRDefault="00000000">
      <w:pPr>
        <w:pStyle w:val="Ttulo2"/>
        <w:spacing w:line="360" w:lineRule="auto"/>
      </w:pPr>
      <w:r>
        <w:t>1.2  O Contexto Costeiro Português</w:t>
      </w:r>
    </w:p>
    <w:p w:rsidR="00FB637B" w:rsidRDefault="00000000">
      <w:pPr>
        <w:spacing w:after="160" w:line="360" w:lineRule="auto"/>
        <w:jc w:val="both"/>
      </w:pPr>
      <w:r>
        <w:t xml:space="preserve">A linha de costa atlântica de Portugal estende-se por aproximadamente 943 quilómetros ao longo das margens ocidental e meridional da Península Ibérica, abrangendo promontórios rochosos expostos, sistemas de praias de barreira, ambientes estuarinos complexos e planícies </w:t>
      </w:r>
      <w:r>
        <w:lastRenderedPageBreak/>
        <w:t>aluviais de baixa altitude. Das 25 regiões NUTS3 do continente, doze apresentam exposição costeira ou estuarina direta de relevância económica e infraestrutural e constituem o domínio espacial deste estudo. Estas doze regiões representam coletivamente a grande maioria do PIB português e albergam as infraestruturas de transporte mais estrategicamente críticas do país — incluindo os três principais portos comerciais, a espinha dorsal atlântica da rede ferroviária nacional e o principal corredor rodoviário norte-sul.</w:t>
      </w:r>
    </w:p>
    <w:p w:rsidR="00425163" w:rsidRDefault="00000000">
      <w:pPr>
        <w:spacing w:after="160" w:line="360" w:lineRule="auto"/>
        <w:jc w:val="both"/>
      </w:pPr>
      <w:r>
        <w:t xml:space="preserve">A economia costeira portuguesa organiza-se em torno do comércio marítimo. O Porto de Leixões (Porto), o Porto de Lisboa e o Porto de Setúbal movimentam coletivamente cerca de 32 milhões de toneladas de carga em 2024 (Governo de Portugal, 2024), constituindo nós críticos para o comércio de contentores, exportação de veículos e logística de granéis líquidos ao longo da costa atlântica portuguesa. O complexo produtivo AutoEuropa/Volkswagen em Setúbal opera numa cadeia de abastecimento </w:t>
      </w:r>
      <w:r>
        <w:rPr>
          <w:i/>
          <w:iCs/>
        </w:rPr>
        <w:t>just-in-time</w:t>
      </w:r>
      <w:r>
        <w:t xml:space="preserve"> criticamente dependente do acesso ininterrupto ao porto — ilustrando precisamente a razão pela qual o estudo vai além da quantificação da destruição física de ativos (Pilar 2) para modelar o custo económico da perturbação operacional temporária (Pilar 3): mesmo encerramentos de poucos dias podem desencadear penalizações na cadeia de abastecimento que superam materialmente o custo imediato dos danos causados pela inundação. Vários troços das redes ferroviária e rodoviária nacionais atravessam terrenos já marginalmente acima do nível médio de preia-mar: o troço ferroviário da Linha do Norte na planície aluvial do Tejo (Castanheira–Alverca) a aproximadamente 2,0 metros; e o aterro ferroviário da Ria de Aveiro a 0,7–1,2 metros (análise do estudo; European Space Agency, 2021). O troço ferroviário no Mondego da Linha do Norte (Alfarelos–Formoselha), embora situad</w:t>
      </w:r>
      <w:r w:rsidR="001151A4">
        <w:t>o</w:t>
      </w:r>
      <w:r>
        <w:t xml:space="preserve"> a aproximadamente 4–9 metros acima do nível médio do mar e, portanto, fora da zona de inundação direta, encontra-se expost</w:t>
      </w:r>
      <w:r w:rsidR="008162B7">
        <w:t>o</w:t>
      </w:r>
      <w:r>
        <w:t xml:space="preserve"> através de um mecanismo marítimo-fluvial distinto: a subida do nível do mar condiciona progressivamente a drenagem no estuário do Mondego, agravando a frequência de episódios de cheias fluviais nessa secção. A planície aluvial do Tejo e o Vale do Mondego possuem um histórico documentado de episódios de cheias catastróficas que causaram interrupções generalizadas nas infraestruturas (Fernández-Nóvoa et al., 2024); além disso, projeta-se que as cheias compostas – impulsionadas pela coincidência de sobrelevações marinhas (storm surge), caudais fluviais elevados e marés vivas – aumentem exponencialmente em frequência à medida que o nível do mar sobe (Moftakhari et al., 2017).</w:t>
      </w:r>
    </w:p>
    <w:p w:rsidR="008715A5" w:rsidRDefault="00000000">
      <w:pPr>
        <w:spacing w:after="160" w:line="360" w:lineRule="auto"/>
        <w:jc w:val="both"/>
      </w:pPr>
      <w:r>
        <w:t xml:space="preserve">No sul de Portugal, dois troços adicionais da Linha do Algarve estão expostos a risco de inundação costeira e estuarina: o troço costeiro Faro–Olhão, que corre a baixa altitude ao longo </w:t>
      </w:r>
      <w:r>
        <w:lastRenderedPageBreak/>
        <w:t>da margem da Ria Formosa, e o troço do estuário do Portimão/Arade, que atravessa a foz do rio Arade sob influência das marés. O cruzamento da autoestrada A14 no Mondego está igualmente exposto ao mecanismo marítimo-fluvial que condiciona progressivamente a drenagem no estuário do Mondego, agravando a frequência das cheias fluviais nessa secção à medida que o nível do mar sobe.</w:t>
      </w:r>
    </w:p>
    <w:p w:rsidR="00FB637B" w:rsidRDefault="00000000">
      <w:pPr>
        <w:spacing w:after="160" w:line="360" w:lineRule="auto"/>
        <w:jc w:val="both"/>
      </w:pPr>
      <w:r>
        <w:t xml:space="preserve">Os registos observacionais dos marégrafos portugueses documentam uma tendência histórica clara e acelerada: as taxas de SNM pós-1993 em Leixões (+3,16 mm/ano) e Sines (+5,06 mm/ano) excedem substancialmente as médias do período completo dos respetivos registos, em consonância com a aceleração global documentada no IPCC AR6 (PSMSL, 2024; Fox-Kemper et al., 2021). O instrumento de referência do planeamento territorial nacional — o Programa Nacional da Política de Ordenamento do Território (PNPOT, DGT, 2019) — identifica a erosão costeira e a subida do nível do mar como desafios prioritários para a gestão territorial de longo prazo, e a Estratégia Nacional de Adaptação às Alterações Climáticas (ENAAC, APA, 2020) estabelece um enquadramento para o planeamento setorial da adaptação. No entanto, nenhum destes instrumentos foi apoiado por uma quantificação económica </w:t>
      </w:r>
      <w:r w:rsidR="001151A4">
        <w:t>assente em múltiplos pilares</w:t>
      </w:r>
      <w:r>
        <w:t xml:space="preserve"> à escala nacional do custo da inação relativo ao conjunto das infraestruturas de transporte costeiro — a lacuna que este estudo se propõe colmatar.</w:t>
      </w:r>
    </w:p>
    <w:p w:rsidR="00FB637B" w:rsidRDefault="00000000">
      <w:pPr>
        <w:spacing w:after="160" w:line="360" w:lineRule="auto"/>
        <w:jc w:val="both"/>
      </w:pPr>
      <w:r>
        <w:t>A Figura 1.1 ilustra a escala do desafio. Gerada diretamente a partir da cadeia de análise geoespacial do presente estudo com recurso ao Modelo Digital de Superfície Copernicus GLO-30, mostra o potencial de inundação estática da costa continental portuguesa no cenário de emissões elevadas (SSP5-8.5) em 2100 — o pior cenário do estudo. As zonas de inundação a vermelho concentram-se nos estuários do Tejo e do Sado no Sul, na Ria de Aveiro no centro, e na foz dos rios Lima e Minho no Norte: precisamente os corredores onde a rede ferroviária nacional, os três portos comerciais e a autoestrada A1 estão mais expostos. Ao contrário de abordagens mais simples de limiarização por altitude, o modelo de inundação com restrição de conectividade limita a inundação ao terreno com um percurso hidrológico desobstruído até ao mar, eliminando artefactos interiores espúreos e produzindo uma estimativa mais defensável da exposição costeira (Poulter &amp; Halpin, 2008).</w:t>
      </w:r>
    </w:p>
    <w:p w:rsidR="00FB637B" w:rsidRDefault="00000000">
      <w:pPr>
        <w:spacing w:before="240" w:after="80"/>
        <w:jc w:val="center"/>
      </w:pPr>
      <w:r>
        <w:rPr>
          <w:noProof/>
        </w:rPr>
        <w:lastRenderedPageBreak/>
        <w:drawing>
          <wp:inline distT="0" distB="0" distL="0" distR="0">
            <wp:extent cx="4572000" cy="5486400"/>
            <wp:effectExtent l="0" t="0" r="0" b="0"/>
            <wp:docPr id="1" name="Exposição à inundação SSP5-8.5 2100" descr="Potencial de inundação estática da costa continental portuguesa no cenário SSP5-8.5 em 2100, SNM +1,00 m" title="Exposição à inundação SSP5-8.5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5486400"/>
                    </a:xfrm>
                    <a:prstGeom prst="rect">
                      <a:avLst/>
                    </a:prstGeom>
                  </pic:spPr>
                </pic:pic>
              </a:graphicData>
            </a:graphic>
          </wp:inline>
        </w:drawing>
      </w:r>
    </w:p>
    <w:p w:rsidR="00FB637B" w:rsidRDefault="00000000">
      <w:pPr>
        <w:spacing w:after="320"/>
        <w:jc w:val="center"/>
      </w:pPr>
      <w:r>
        <w:rPr>
          <w:i/>
          <w:iCs/>
          <w:sz w:val="20"/>
          <w:szCs w:val="20"/>
        </w:rPr>
        <w:t>Figura 1.1: Costa continental portuguesa — potencial de inundação estática no cenário de emissões elevadas (SSP5-8.5) em 2100, com subida do nível do mar de +1,00 m acima da referência de 2020. As zonas a vermelho indicam terrenos expostos à inundação; o gradiente de altitude (verde a castanho) mostra o perfil topográfico das terras não inundadas. Gerada diretamente a partir da cadeia de análise geoespacial do estudo, com recurso ao MDS Copernicus GLO-30 e a um modelo de inundação estática em banheira com restrição de conectividade.</w:t>
      </w:r>
    </w:p>
    <w:p w:rsidR="00FB637B" w:rsidRDefault="00000000">
      <w:pPr>
        <w:pStyle w:val="Ttulo2"/>
        <w:spacing w:line="360" w:lineRule="auto"/>
      </w:pPr>
      <w:r>
        <w:t>1.3  Objetivo e Questões de Investigação</w:t>
      </w:r>
    </w:p>
    <w:p w:rsidR="00FB637B" w:rsidRDefault="00000000">
      <w:pPr>
        <w:spacing w:after="160" w:line="360" w:lineRule="auto"/>
        <w:jc w:val="both"/>
      </w:pPr>
      <w:r>
        <w:t xml:space="preserve">O objetivo deste estudo é quantificar o impacto económico e infraestrutural da subida do nível do mar na costa continental portuguesa, em três cenários do IPCC AR6 ao longo do período 2025–2100, e determinar as condições em que investimentos direcionados em adaptação atingem o ponto de equilíbrio face aos custos acumulados de perturbação projetados. O estudo prossegue este objetivo através de um enquadramento analítico integrado de três pilares — Exposição Económica, Exposição de Ativos e Risco de Perturbação de Infraestruturas Críticas — aplicado de forma consistente a todos os cenários e a uma variante de sensibilidade por </w:t>
      </w:r>
      <w:r>
        <w:lastRenderedPageBreak/>
        <w:t>deslocamento geoidal, e fundamentado no enquadramento de avaliação de risco do IPCC AR6 de perigo, exposição e vulnerabilidade.</w:t>
      </w:r>
    </w:p>
    <w:p w:rsidR="00FB637B" w:rsidRDefault="00000000">
      <w:pPr>
        <w:spacing w:after="160" w:line="360" w:lineRule="auto"/>
        <w:jc w:val="both"/>
      </w:pPr>
      <w:r>
        <w:t>Três questões de investigação interrelacionadas operacionalizam este objetivo:</w:t>
      </w:r>
    </w:p>
    <w:p w:rsidR="00FB637B" w:rsidRDefault="00000000">
      <w:pPr>
        <w:spacing w:after="160" w:line="360" w:lineRule="auto"/>
        <w:jc w:val="both"/>
      </w:pPr>
      <w:r>
        <w:rPr>
          <w:b/>
          <w:bCs/>
        </w:rPr>
        <w:t xml:space="preserve">Questão de Investigação 1: </w:t>
      </w:r>
      <w:r>
        <w:rPr>
          <w:i/>
          <w:iCs/>
        </w:rPr>
        <w:t>Que proporção do PIB costeiro de Portugal e do stock de infraestrutura física está exposta à inundação permanente em cada limiar de SNM de 0,1 a 2,0 metros acima da referência de 2020, e como varia esta exposição entre regiões NUTS3 e cenários?</w:t>
      </w:r>
    </w:p>
    <w:p w:rsidR="00FB637B" w:rsidRDefault="00000000">
      <w:pPr>
        <w:spacing w:after="160" w:line="360" w:lineRule="auto"/>
        <w:jc w:val="both"/>
      </w:pPr>
      <w:r>
        <w:rPr>
          <w:b/>
          <w:bCs/>
        </w:rPr>
        <w:t xml:space="preserve">Questão de Investigação 2: </w:t>
      </w:r>
      <w:r>
        <w:rPr>
          <w:i/>
          <w:iCs/>
        </w:rPr>
        <w:t>Para dez troços críticos de infraestrutura de transporte costeiro, com que frequência os eventos de cheia composta causarão encerramento temporário à medida que o nível do mar sobe em cada cenário, e qual é o custo económico acumulado dessa perturbação ao longo do período 2025–2100?</w:t>
      </w:r>
    </w:p>
    <w:p w:rsidR="00FB637B" w:rsidRDefault="00000000">
      <w:pPr>
        <w:spacing w:after="160" w:line="360" w:lineRule="auto"/>
        <w:jc w:val="both"/>
      </w:pPr>
      <w:r>
        <w:rPr>
          <w:b/>
          <w:bCs/>
        </w:rPr>
        <w:t xml:space="preserve">Questão de Investigação 3: </w:t>
      </w:r>
      <w:r>
        <w:rPr>
          <w:i/>
          <w:iCs/>
        </w:rPr>
        <w:t>Em que momentos e em que cenários a despesa de capital necessária para proteger cada troço de infraestrutura atinge o break-even relativamente ao custo acumulado de perturbação evitado — e qual é a sensibilidade desta análise break-even à escolha da taxa de desconto?</w:t>
      </w:r>
    </w:p>
    <w:p w:rsidR="00FB637B" w:rsidRDefault="00000000">
      <w:pPr>
        <w:spacing w:after="160" w:line="360" w:lineRule="auto"/>
        <w:jc w:val="both"/>
      </w:pPr>
      <w:r>
        <w:t>Cada questão de investigação corresponde diretamente a um dos três pilares analíticos do estudo. A Questão de Investigação 1 é abordada pelos Pilares 1 e 2, que quantificam a exposição económica e de ativos físicos através da análise de inundação estática do Modelo Digital de Superfície Copernicus GLO-30 à escala NUTS3. A Questão de Investigação 2 é abordada pelo Pilar 3, que aplica o enquadramento de frequência de cheias compostas de Moftakhari et al. (2017) para traduzir as trajetórias de SNM específicas de cada cenário em frequência anual de encerramento por troço e custo acumulado de perturbação. A Questão de Investigação 3 é abordada pela análise de ponto de equilíbrio de adaptação integrada no Pilar 3, que compara os custos acumulados de perturbação com a despesa de capital indicativa de proteção em três pressupostos de taxa de desconto.</w:t>
      </w:r>
    </w:p>
    <w:p w:rsidR="00FB637B" w:rsidRDefault="00000000">
      <w:pPr>
        <w:pStyle w:val="Ttulo2"/>
        <w:spacing w:line="360" w:lineRule="auto"/>
      </w:pPr>
      <w:r>
        <w:t>1.4  Enquadramento Analítico</w:t>
      </w:r>
    </w:p>
    <w:p w:rsidR="00FB637B" w:rsidRDefault="00000000">
      <w:pPr>
        <w:spacing w:after="160" w:line="360" w:lineRule="auto"/>
        <w:jc w:val="both"/>
      </w:pPr>
      <w:r>
        <w:t xml:space="preserve">O estudo está estruturado no enquadramento de avaliação de risco do Grupo de Trabalho II do IPCC AR6, que conceptualiza o risco climático como função de três componentes que interagem entre si: perigo, exposição e vulnerabilidade (Ara Begum et al., 2022). O perigo refere-se à subida progressiva do nível do mar acima da referência de 2020 em cada cenário. A </w:t>
      </w:r>
      <w:r>
        <w:lastRenderedPageBreak/>
        <w:t>exposição refere-se à produção económica, ao stock de infraestruturas e aos sistemas operacionais localizados em terreno sujeito a inundação. A vulnerabilidade refere-se à propensão dos sistemas expostos para serem adversamente afetados, moldada pelas características físicas das infraestruturas, pela sua altitude relativa ao nível do mar, pelas suas dependências funcionais e pelas consequências económicas da perturbação operacional. A interação destas três componentes, mediada pela capacidade de adaptação, determina o perfil de risco global de cada troço e região.</w:t>
      </w:r>
    </w:p>
    <w:p w:rsidR="00920E3A" w:rsidRDefault="00000000">
      <w:pPr>
        <w:spacing w:after="160" w:line="360" w:lineRule="auto"/>
        <w:jc w:val="both"/>
      </w:pPr>
      <w:r>
        <w:t>A estrutura analítica dos três pilares operacionaliza este enquadramento como uma progressão coerente da medição do perigo físico, passando pela quantificação da exposição económica, até à avaliação dinâmica do risco operacional:</w:t>
      </w:r>
    </w:p>
    <w:p w:rsidR="00920E3A" w:rsidRDefault="00920E3A">
      <w:pPr>
        <w:spacing w:after="160" w:line="360" w:lineRule="auto"/>
        <w:jc w:val="both"/>
      </w:pPr>
      <w:r>
        <w:t>- Pilar 1 — Exposição Económica — quantifica o PIB anual das regiões NUTS3 costeiras situadas abaixo de limiares de SNM progressivamente mais elevados, captando a interseção entre o perigo e a exposição económica;</w:t>
      </w:r>
    </w:p>
    <w:p w:rsidR="00920E3A" w:rsidRDefault="00920E3A">
      <w:pPr>
        <w:spacing w:after="160" w:line="360" w:lineRule="auto"/>
        <w:jc w:val="both"/>
      </w:pPr>
      <w:r>
        <w:t xml:space="preserve">- Pilar 2 — Exposição de Ativos — estende esta análise ao custo de substituição do stock de infraestrutura física (edifícios, estradas, linhas ferroviárias e redes de utilidades) na zona inundada; </w:t>
      </w:r>
    </w:p>
    <w:p w:rsidR="00920E3A" w:rsidRDefault="00920E3A">
      <w:pPr>
        <w:spacing w:after="160" w:line="360" w:lineRule="auto"/>
        <w:jc w:val="both"/>
      </w:pPr>
      <w:r>
        <w:t xml:space="preserve">- Pilar 3 — Risco de Perturbação de Infraestruturas Críticas — modela a frequência de encerramento por cheia composta e o custo acumulado de perturbação de dez troços específicos de infraestrutura de transporte, permitindo a análise de ponto de equilíbrio de adaptação que responde à Questão de Investigação 3. O modelo do Pilar 3 aplica um teto de 365 dias por ano às projeções de dias anuais de encerramento: qualquer troço cujo encerramento modelado atinja esse teto transitou de perturbação intermitente para falha operacional permanente, sendo os custos além desse limiar reportados como tal. </w:t>
      </w:r>
    </w:p>
    <w:p w:rsidR="00FB637B" w:rsidRDefault="00000000">
      <w:pPr>
        <w:spacing w:after="160" w:line="360" w:lineRule="auto"/>
        <w:jc w:val="both"/>
      </w:pPr>
      <w:r>
        <w:t>Os três pilares são aplicados a um conjunto comum de cenários e a um domínio espacial comum, assegurando a consistência interna ao longo do estudo.</w:t>
      </w:r>
    </w:p>
    <w:p w:rsidR="00FB637B" w:rsidRDefault="00000000">
      <w:pPr>
        <w:spacing w:after="160" w:line="360" w:lineRule="auto"/>
        <w:jc w:val="both"/>
      </w:pPr>
      <w:r>
        <w:t xml:space="preserve">A escolha do enquadramento do IPCC AR6 como suporte metodológico primário justifica-se por três razões: o seu prestígio científico como norma internacionalmente aceite para a avaliação de impactos climáticos; a sua consistência interna, que assegura que os três pilares constituem uma progressão logicamente integrada e não análises paralelas; e o seu alinhamento direto com os cenários SSP utilizados para parametrizar as projeções de SNM, evitando </w:t>
      </w:r>
      <w:r>
        <w:lastRenderedPageBreak/>
        <w:t>inconsistências que surgem quando os modelos de impacto são aplicados fora do enquadramento no qual os dados de base foram desenvolvidos.</w:t>
      </w:r>
    </w:p>
    <w:p w:rsidR="00FB637B" w:rsidRDefault="00000000">
      <w:pPr>
        <w:pStyle w:val="Ttulo2"/>
        <w:spacing w:line="360" w:lineRule="auto"/>
      </w:pPr>
      <w:r>
        <w:t>1.5  Métodos de Data Science e Ferramentas Analíticas</w:t>
      </w:r>
    </w:p>
    <w:p w:rsidR="00FB637B" w:rsidRDefault="00000000">
      <w:pPr>
        <w:spacing w:after="160" w:line="360" w:lineRule="auto"/>
        <w:jc w:val="both"/>
      </w:pPr>
      <w:r>
        <w:t>Este estudo é explicitamente uma dissertação de Data Science: aplica métodos computacionais, estatísticos e de aprendizagem automática a um conjunto de dados vasto e de múltiplas fontes para responder a questões que não podem ser abordadas pelos métodos analíticos tradicionais isoladamente. As quatro componentes centrais de ciência de dados do estudo são as seguintes.</w:t>
      </w:r>
    </w:p>
    <w:p w:rsidR="00FB637B" w:rsidRDefault="00000000">
      <w:pPr>
        <w:spacing w:after="160" w:line="360" w:lineRule="auto"/>
        <w:jc w:val="both"/>
      </w:pPr>
      <w:r>
        <w:t xml:space="preserve">Primeiro, </w:t>
      </w:r>
      <w:r>
        <w:rPr>
          <w:b/>
          <w:bCs/>
        </w:rPr>
        <w:t>engenharia de dados geoespaciais e análise de rasters</w:t>
      </w:r>
      <w:r>
        <w:t xml:space="preserve">. A base espacial do estudo é uma cadeia de processamento em Python (geopandas, rasterio, numpy) que ingere dois quadrantes adjacentes do MDS Copernicus GLO-30 cobrindo o território continental português, os funde num único raster e aplica um algoritmo de inundação estática em banheira com restrição de conectividade em vinte limiares de SNM em três cenários e a variante de sensibilidade geoidal. As projeções medianas do IPCC AR6 estão referenciadas à referência 1995–2014; é aplicado um deslocamento de +0,06 m ao longo de todo o estudo para converter estas projeções para a referência de 2020 utilizada de forma consistente. A cadeia de processamento cruza os rasters de extensão de inundação resultantes com os polígonos das fronteiras NUTS3 para calcular a área inundada e o valor económico exposto em cada limiar. Uma subcadeia de processamento separada processa a rede de infraestruturas do OpenStreetMap (estradas, </w:t>
      </w:r>
      <w:r w:rsidR="008162B7">
        <w:t>l</w:t>
      </w:r>
      <w:r w:rsidR="001151A4">
        <w:t>inhas ferroviárias</w:t>
      </w:r>
      <w:r w:rsidR="008162B7">
        <w:t xml:space="preserve"> </w:t>
      </w:r>
      <w:proofErr w:type="spellStart"/>
      <w:r w:rsidR="008162B7">
        <w:t xml:space="preserve">e </w:t>
      </w:r>
      <w:r>
        <w:t>nó</w:t>
      </w:r>
      <w:proofErr w:type="spellEnd"/>
      <w:r>
        <w:t>s de infraestruturas) para extrair geometrias de ativos, amostrar a respetiva altitude a partir do MDS e atribuir custos unitários de substituição com base em dados publicados de valorização de infraestruturas. Esta cadeia de processamento geoespacial é a espinha dorsal técnica dos Pilares 1 e 2.</w:t>
      </w:r>
    </w:p>
    <w:p w:rsidR="00FB637B" w:rsidRDefault="00000000">
      <w:pPr>
        <w:spacing w:after="160" w:line="360" w:lineRule="auto"/>
        <w:jc w:val="both"/>
      </w:pPr>
      <w:r>
        <w:t xml:space="preserve">Segundo, </w:t>
      </w:r>
      <w:r>
        <w:rPr>
          <w:b/>
          <w:bCs/>
        </w:rPr>
        <w:t>aprendizagem automática não supervisionada</w:t>
      </w:r>
      <w:r>
        <w:t xml:space="preserve">. O algoritmo K-Means (scikit-learn) é aplicado para classificar as doze regiões NUTS3 costeiras em níveis de risco relativo com base em quatro variáveis multidimensionais de exposição: contagem de píxeis inundados, PIB em risco, exposição relativa à inundação (fração da área NUTS3 total inundada) e custo de substituição de infraestruturas exposto. O número ótimo de grupos é determinado com recurso a dois diagnósticos complementares — o método do cotovelo (inércia intragrupo em função de k) e o coeficiente de silhueta — seguindo a prática corrente na literatura de classificação espacial do risco (MacQueen, 1967). As classificações de nível de risco resultantes (Risco Prioritário, Risco Elevado, Risco Moderado, Risco Baixo) fornecem uma classificação </w:t>
      </w:r>
      <w:r>
        <w:lastRenderedPageBreak/>
        <w:t>interpretável do ponto de vista político da exposição regional à SNM, que apoia as decisões de priorização da adaptação.</w:t>
      </w:r>
    </w:p>
    <w:p w:rsidR="00FB637B" w:rsidRDefault="00000000">
      <w:pPr>
        <w:spacing w:after="160" w:line="360" w:lineRule="auto"/>
        <w:jc w:val="both"/>
      </w:pPr>
      <w:r>
        <w:t xml:space="preserve">Terceiro, </w:t>
      </w:r>
      <w:r>
        <w:rPr>
          <w:b/>
          <w:bCs/>
        </w:rPr>
        <w:t>inferência estatística</w:t>
      </w:r>
      <w:r>
        <w:t xml:space="preserve">. A regressão por Mínimos Quadrados Ordinários (MQO) (statsmodels) é aplicada às séries temporais do nível médio anual do mar obtidas dos registos dos marégrafos PSMSL em Leixões (1956–2022) e Sines (1977–2022), estimando as taxas de tendência de longo prazo e pós-1993 com intervalos de confiança de 95% e </w:t>
      </w:r>
      <w:r>
        <w:rPr>
          <w:i/>
          <w:iCs/>
        </w:rPr>
        <w:t>p-values</w:t>
      </w:r>
      <w:r>
        <w:t>. As estimativas de tendência pós-1993 são depois comparadas com os intervalos de taxa projetados do IPCC AR6 para cada cenário SSP, proporcionando uma validação observacional das projeções de cenário face aos dados dos marégrafos portugueses. Este passo de validação ancora as projeções prospetivas no registo observacional e reforça a base de evidência para a seleção dos cenários.</w:t>
      </w:r>
    </w:p>
    <w:p w:rsidR="00FB637B" w:rsidRPr="00150DED" w:rsidRDefault="00000000">
      <w:pPr>
        <w:spacing w:after="160" w:line="360" w:lineRule="auto"/>
        <w:jc w:val="both"/>
      </w:pPr>
      <w:r>
        <w:t xml:space="preserve">Quarto, </w:t>
      </w:r>
      <w:r>
        <w:rPr>
          <w:b/>
          <w:bCs/>
        </w:rPr>
        <w:t>visualização interativa de dados</w:t>
      </w:r>
      <w:r>
        <w:t>. O Tableau Public é utilizado para construir cinco dashboards interativos que apresentam os principais resultados do estudo — mapas de exposição à inundação, séries temporais de exposição do PIB e de ativos, trajetórias do custo acumulado de perturbação, classificações K-Means por nível de risco e curvas de ponto de equilíbrio de adaptação — permitindo que partes interessadas não técnicas explorem os resultados de forma interativa entre cenários, horizontes temporais e variantes geoidais. Os dashboards são publicamente acessíveis, alargando o alcance do estudo em termos de política pública para além da própria dissertação. Em conjunto, estas quatro componentes demonstram a aplicação do currículo do MBA em Data Science a um problema analítico real e de elevada relevância. A parametrização detalhada de cada componente – incluindo decisões de calibração do modelo, seleções de limiares, variantes de sensibilidade e especificações completas do algoritmo – está reservada para o Capítulo 3.</w:t>
      </w:r>
    </w:p>
    <w:p w:rsidR="00FB637B" w:rsidRDefault="00000000">
      <w:pPr>
        <w:pStyle w:val="Ttulo2"/>
        <w:spacing w:line="360" w:lineRule="auto"/>
      </w:pPr>
      <w:r>
        <w:t>1.6  Âmbito e Delimitações</w:t>
      </w:r>
    </w:p>
    <w:p w:rsidR="00FB637B" w:rsidRDefault="00000000">
      <w:pPr>
        <w:spacing w:after="160" w:line="360" w:lineRule="auto"/>
        <w:jc w:val="both"/>
      </w:pPr>
      <w:r>
        <w:t xml:space="preserve">O âmbito espacial do estudo abrange as doze regiões NUTS3 costeiras do território continental português, selecionadas com base na sua exposição costeira ou estuarina direta à inundação induzida pela SNM. As ilhas atlânticas portuguesas — Açores e Madeira — são excluídas: a sua geomorfologia insular distinta, a topografia vulcânica e os sistemas administrativos, de infraestruturas e de exposição climática separados exigem uma metodologia dedicada que ultrapassa o âmbito deste estudo. As regiões NUTS3 do interior continental estão incluídas na </w:t>
      </w:r>
      <w:r>
        <w:lastRenderedPageBreak/>
        <w:t>base de dados espacial, mas registam exposição à inundação negligenciável em todos os cenários e são tratadas como não expostas.</w:t>
      </w:r>
    </w:p>
    <w:p w:rsidR="00FB637B" w:rsidRDefault="00000000">
      <w:pPr>
        <w:spacing w:after="160" w:line="360" w:lineRule="auto"/>
        <w:jc w:val="both"/>
      </w:pPr>
      <w:r>
        <w:t>O âmbito de infraestruturas da análise do Pilar 3 abrange dez troços de transporte crítico — ferrovia, porto e estrada — selecionados com base em três critérios aplicados em combinação: altitude abaixo de 2,5 metros acima do nível médio do mar (ou exposição a mecanismos marítimo-fluviais que estendem o risco de inundação a altitudes superiores); exposição documentada ou modelada a cheias compostas históricas; e importância económica estratégica à escala nacional ou regional. Os dez troços são: a linha ferroviária do Mondego (Alfarelos–Formoselha), a linha ferroviária da planície aluvial do Tejo (Castanheira–Alverca), o aterro ferroviário da Ria de Aveiro, o troço costeiro Faro–Olhão da Linha do Algarve, o troço do estuário do Portimão/Arade da Linha do Algarve, o Porto de Leixões, o Porto de Lisboa, o Porto de Setúbal, o cruzamento da autoestrada A14 no Mondego e o troço estuarino da autoestrada A1. Três infraestruturas foram consideradas mas excluídas do âmbito: o Porto de Sines, cujos cais de águas profundas se situam acima do envelope de cheia composta modelado neste estudo; o Aeroporto de Faro, cuja altitude de pista de aproximadamente 7,3 metros acima do nível médio do mar o coloca fora do envelope de SNM em todos os cenários até 2100; e a aproximação sul da Ponte Vasco da Gama, que não pôde ser consistentemente validada face ao enquadramento raise_requirements aplicado a todos os demais troços.</w:t>
      </w:r>
    </w:p>
    <w:p w:rsidR="00FB637B" w:rsidRDefault="00000000">
      <w:pPr>
        <w:spacing w:after="160" w:line="360" w:lineRule="auto"/>
        <w:jc w:val="both"/>
      </w:pPr>
      <w:r>
        <w:t>São adotados três cenários do IPCC AR6: SSP1-2.6 (emissões baixas), SSP2-4.5 (intermédias) e SSP5-8.5 (emissões elevadas). Uma quarta variante — o caso de sensibilidade +Geoidal, que aplica um deslocamento adicional de +0,15 metros para testar o efeito de uma possível discordância na referência de altitude — é utilizada em todos os pilares como sensibilidade do modelo e não como cenário físico. O período de estudo decorre de 2025 a 2100, captando a trajetória não linear completa da SNM, incluindo a fase de aceleração pós-2050 que gera os impactos mais severos nas infraestruturas.</w:t>
      </w:r>
    </w:p>
    <w:p w:rsidR="00FB637B" w:rsidRDefault="00000000">
      <w:pPr>
        <w:spacing w:after="160" w:line="360" w:lineRule="auto"/>
        <w:jc w:val="both"/>
      </w:pPr>
      <w:r>
        <w:t xml:space="preserve">A análise espacial recorre a um modelo estático de inundação em banheira, uma abordagem padrão à escala regional (Poulter &amp; Halpin, 2008). O modelo não simula a propagação </w:t>
      </w:r>
      <w:r>
        <w:rPr>
          <w:i/>
          <w:iCs/>
        </w:rPr>
        <w:t>storm surge</w:t>
      </w:r>
      <w:r>
        <w:t xml:space="preserve"> (sobrelevação meteorológica), a rebentação de ondas ou o encaminhamento hidrodinâmico; os resultados representam estimativas do potencial de inundação estática e não extensões de inundação confirmadas dinamicamente. O PIB é distribuído de forma uniforme dentro de cada região NUTS3, o que constitui uma simplificação padrão a esta escala espacial; isto representa uma hipótese simplificadora de primeira ordem que suaviza a variação </w:t>
      </w:r>
      <w:r>
        <w:lastRenderedPageBreak/>
        <w:t>intrarregional da densidade económica, devendo os resultados ser interpretados em conformidade. O Copernicus GLO-30 é um Modelo Digital de Superfície (MDS) e não um modelo de terreno nu, fazendo com que subestime a extensão da inundação em áreas costeiras densamente edificadas. Estas limitações são plenamente reconhecidas e abordadas na discussão dos resultados.</w:t>
      </w:r>
    </w:p>
    <w:p w:rsidR="00FB637B" w:rsidRDefault="00000000">
      <w:pPr>
        <w:pStyle w:val="Ttulo2"/>
        <w:spacing w:line="360" w:lineRule="auto"/>
      </w:pPr>
      <w:r>
        <w:t>1.7  Relevância e Contribuição</w:t>
      </w:r>
    </w:p>
    <w:p w:rsidR="00FB637B" w:rsidRDefault="00000000">
      <w:pPr>
        <w:spacing w:after="160" w:line="360" w:lineRule="auto"/>
        <w:jc w:val="both"/>
      </w:pPr>
      <w:r>
        <w:t>A relevância primária do estudo é de natureza política. Ao traduzir as projeções físicas de SNM em custos acumulados de perturbação operacional em termos nominais, e ao comparar esses custos com a despesa de capital indicativa de adaptação a múltiplas taxas de desconto, o estudo produz resultados diretamente acionáveis por gestores de infraestruturas, autoridades de planeamento nacional e decisores de investimento. No contexto português, onde o PNPOT e a ENAAC identificam as infraestruturas costeiras como prioridade estratégica, mas carecem de uma quantificação económica específica para o país do custo da inação, este estudo fornece a base de evidência para um planeamento de adaptação mais direcionado.</w:t>
      </w:r>
    </w:p>
    <w:p w:rsidR="00FB637B" w:rsidRDefault="00000000">
      <w:pPr>
        <w:spacing w:after="160" w:line="360" w:lineRule="auto"/>
        <w:jc w:val="both"/>
      </w:pPr>
      <w:r>
        <w:t>A contribuição académica do estudo reside na integração da avaliação estática da exposição (Pilares 1 e 2) com a modelação dinâmica das perturbações operacionais (Pilar 3) num único enquadramento coerente, aplicado de forma consistente a cenários, regiões e troços de infraestrutura. A aplicação simultânea de aprendizagem automática (agrupamento K-Means), inferência estatística (regressão MQO) e modelação de frequência de cheias compostas no mesmo estudo ancora as projeções prospetivas no registo observacional e proporciona uma base de evidência mais rica do que qualquer método isolado consegue alcançar.</w:t>
      </w:r>
    </w:p>
    <w:p w:rsidR="00FB637B" w:rsidRDefault="00000000">
      <w:pPr>
        <w:spacing w:after="160" w:line="360" w:lineRule="auto"/>
        <w:jc w:val="both"/>
      </w:pPr>
      <w:r>
        <w:t>O estudo dá igualmente uma contribuição metodológica à reprodutibilidade. A cadeia de análise completa é implementada em ferramentas abertas (Python, Node.js) utilizando fontes de dados publicamente acessíveis (Copernicus GLO-30, OpenStreetMap, PSMSL, PORDATA). Todos os scripts, parâmetros e decisões de calibração estão documentados na íntegra, permitindo a replicação direta e a extensão da metodologia a outros contextos nacionais que enfrentam um risco de infraestrutura costeira comparável — uma contribuição de relevância crescente à medida que a avaliação de impacto da SNM específica para cada país se torna um imperativo político em toda a Europa atlântica.</w:t>
      </w:r>
    </w:p>
    <w:p w:rsidR="00FB637B" w:rsidRDefault="00000000">
      <w:pPr>
        <w:pStyle w:val="Ttulo2"/>
        <w:spacing w:line="360" w:lineRule="auto"/>
      </w:pPr>
      <w:r>
        <w:t>1.8  Estrutura da Dissertação</w:t>
      </w:r>
    </w:p>
    <w:p w:rsidR="007779C4" w:rsidRDefault="00000000">
      <w:pPr>
        <w:spacing w:after="160" w:line="360" w:lineRule="auto"/>
        <w:jc w:val="both"/>
      </w:pPr>
      <w:r>
        <w:lastRenderedPageBreak/>
        <w:t xml:space="preserve">Esta dissertação está estruturada em seis capítulos. O presente capítulo introduziu a motivação, o contexto, as questões de investigação, o enquadramento analítico, os métodos de ciência de dados e o âmbito do estudo. </w:t>
      </w:r>
    </w:p>
    <w:p w:rsidR="007779C4" w:rsidRDefault="00000000">
      <w:pPr>
        <w:spacing w:after="160" w:line="360" w:lineRule="auto"/>
        <w:jc w:val="both"/>
      </w:pPr>
      <w:r>
        <w:t xml:space="preserve">O Capítulo 2 situa o estudo na literatura académica existente, revendo a ciência da SNM global e regional, o enquadramento de avaliação de risco do IPCC AR6, as abordagens de modelação de inundação costeira, os modelos de frequência de cheias compostas, os enquadramentos económicos para os custos de perturbação de infraestruturas, as vulnerabilidades específicas do contexto costeiro português, as correções geoidais e o nível relativo do mar, a aprendizagem automática na classificação de risco espacial e os métodos estatísticos para a deteção de tendências do nível do mar. </w:t>
      </w:r>
    </w:p>
    <w:p w:rsidR="00FB637B" w:rsidRDefault="00000000">
      <w:pPr>
        <w:spacing w:after="160" w:line="360" w:lineRule="auto"/>
        <w:jc w:val="both"/>
      </w:pPr>
      <w:r>
        <w:t>O Capítulo 3 descreve as fontes de dados, a cadeia de análise e as decisões metodológicas subjacentes a cada um dos três pilares, incluindo a parametrização do modelo de cheias compostas, o enquadramento de custos CDDR, o procedimento de agrupamento K-Means e a análise de tendência MQO dos marégrafos.</w:t>
      </w:r>
    </w:p>
    <w:p w:rsidR="000F74F0" w:rsidRDefault="00000000">
      <w:pPr>
        <w:spacing w:after="160" w:line="360" w:lineRule="auto"/>
        <w:jc w:val="both"/>
      </w:pPr>
      <w:r>
        <w:t xml:space="preserve">O Capítulo 4 apresenta os resultados dos três pilares: exposição do PIB por região NUTS3 e cenário; exposição do stock de ativos físicos; trajetórias de frequência de encerramento por cheia composta e custos acumulados de perturbação por troço e cenário; a classificação K-Means dos níveis de risco das regiões NUTS3 costeiras; e a validação baseada em MQO das projeções de cenário do AR6 face aos registos observados dos marégrafos portugueses. Versões interativas das principais visualizações de resultados estão acessíveis através da plataforma Tableau Public. </w:t>
      </w:r>
    </w:p>
    <w:p w:rsidR="000F74F0" w:rsidRDefault="00000000">
      <w:pPr>
        <w:spacing w:after="160" w:line="360" w:lineRule="auto"/>
        <w:jc w:val="both"/>
      </w:pPr>
      <w:r>
        <w:t xml:space="preserve">O Capítulo 5 apresenta a análise custo-benefício de adaptação, incluindo os calendários de ponto de equilíbrio específicos por troço em três pressupostos de taxa de desconto (0%, 1,4% seguindo Stern (2007) e 3%) e o enquadramento de sensibilidade do VAL. </w:t>
      </w:r>
    </w:p>
    <w:p w:rsidR="00FB637B" w:rsidRDefault="00000000">
      <w:pPr>
        <w:spacing w:after="160" w:line="360" w:lineRule="auto"/>
        <w:jc w:val="both"/>
      </w:pPr>
      <w:r>
        <w:t>O Capítulo 6 sintetiza os resultados dos três pilares, discute-os no contexto da literatura revista no Capítulo 2, reconhece as limitações e condições de fronteira do estudo, formula implicações de política para o planeamento da adaptação das infraestruturas costeiras em Portugal e identifica direções para investigação futura.</w:t>
      </w:r>
    </w:p>
    <w:sectPr w:rsidR="00FB637B">
      <w:footerReference w:type="default" r:id="rId9"/>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0324" w:rsidRDefault="00DC0324">
      <w:r>
        <w:separator/>
      </w:r>
    </w:p>
  </w:endnote>
  <w:endnote w:type="continuationSeparator" w:id="0">
    <w:p w:rsidR="00DC0324" w:rsidRDefault="00DC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637B" w:rsidRDefault="00000000">
    <w:pPr>
      <w:jc w:val="center"/>
    </w:pPr>
    <w:r>
      <w:fldChar w:fldCharType="begin"/>
    </w:r>
    <w:r>
      <w:instrText>PAGE</w:instrText>
    </w:r>
    <w:r>
      <w:fldChar w:fldCharType="separate"/>
    </w:r>
    <w:r w:rsidR="00DD6B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0324" w:rsidRDefault="00DC0324">
      <w:r>
        <w:separator/>
      </w:r>
    </w:p>
  </w:footnote>
  <w:footnote w:type="continuationSeparator" w:id="0">
    <w:p w:rsidR="00DC0324" w:rsidRDefault="00DC0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E26B6"/>
    <w:multiLevelType w:val="hybridMultilevel"/>
    <w:tmpl w:val="A6D02C52"/>
    <w:lvl w:ilvl="0" w:tplc="C89A7AAA">
      <w:start w:val="1"/>
      <w:numFmt w:val="bullet"/>
      <w:lvlText w:val="●"/>
      <w:lvlJc w:val="left"/>
      <w:pPr>
        <w:ind w:left="720" w:hanging="360"/>
      </w:pPr>
    </w:lvl>
    <w:lvl w:ilvl="1" w:tplc="4DECDD20">
      <w:start w:val="1"/>
      <w:numFmt w:val="bullet"/>
      <w:lvlText w:val="○"/>
      <w:lvlJc w:val="left"/>
      <w:pPr>
        <w:ind w:left="1440" w:hanging="360"/>
      </w:pPr>
    </w:lvl>
    <w:lvl w:ilvl="2" w:tplc="ABDED32E">
      <w:start w:val="1"/>
      <w:numFmt w:val="bullet"/>
      <w:lvlText w:val="■"/>
      <w:lvlJc w:val="left"/>
      <w:pPr>
        <w:ind w:left="2160" w:hanging="360"/>
      </w:pPr>
    </w:lvl>
    <w:lvl w:ilvl="3" w:tplc="4B8CA76A">
      <w:start w:val="1"/>
      <w:numFmt w:val="bullet"/>
      <w:lvlText w:val="●"/>
      <w:lvlJc w:val="left"/>
      <w:pPr>
        <w:ind w:left="2880" w:hanging="360"/>
      </w:pPr>
    </w:lvl>
    <w:lvl w:ilvl="4" w:tplc="F8C4FE06">
      <w:start w:val="1"/>
      <w:numFmt w:val="bullet"/>
      <w:lvlText w:val="○"/>
      <w:lvlJc w:val="left"/>
      <w:pPr>
        <w:ind w:left="3600" w:hanging="360"/>
      </w:pPr>
    </w:lvl>
    <w:lvl w:ilvl="5" w:tplc="D556F094">
      <w:start w:val="1"/>
      <w:numFmt w:val="bullet"/>
      <w:lvlText w:val="■"/>
      <w:lvlJc w:val="left"/>
      <w:pPr>
        <w:ind w:left="4320" w:hanging="360"/>
      </w:pPr>
    </w:lvl>
    <w:lvl w:ilvl="6" w:tplc="F17A950A">
      <w:start w:val="1"/>
      <w:numFmt w:val="bullet"/>
      <w:lvlText w:val="●"/>
      <w:lvlJc w:val="left"/>
      <w:pPr>
        <w:ind w:left="5040" w:hanging="360"/>
      </w:pPr>
    </w:lvl>
    <w:lvl w:ilvl="7" w:tplc="11843548">
      <w:start w:val="1"/>
      <w:numFmt w:val="bullet"/>
      <w:lvlText w:val="●"/>
      <w:lvlJc w:val="left"/>
      <w:pPr>
        <w:ind w:left="5760" w:hanging="360"/>
      </w:pPr>
    </w:lvl>
    <w:lvl w:ilvl="8" w:tplc="7A54882E">
      <w:start w:val="1"/>
      <w:numFmt w:val="bullet"/>
      <w:lvlText w:val="●"/>
      <w:lvlJc w:val="left"/>
      <w:pPr>
        <w:ind w:left="6480" w:hanging="360"/>
      </w:pPr>
    </w:lvl>
  </w:abstractNum>
  <w:num w:numId="1" w16cid:durableId="853809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37B"/>
    <w:rsid w:val="000B6DF7"/>
    <w:rsid w:val="000F74F0"/>
    <w:rsid w:val="001151A4"/>
    <w:rsid w:val="00150DED"/>
    <w:rsid w:val="00250F98"/>
    <w:rsid w:val="002A0397"/>
    <w:rsid w:val="002A58E4"/>
    <w:rsid w:val="003253E3"/>
    <w:rsid w:val="003C226D"/>
    <w:rsid w:val="00425163"/>
    <w:rsid w:val="005F718D"/>
    <w:rsid w:val="00645E65"/>
    <w:rsid w:val="007779C4"/>
    <w:rsid w:val="008162B7"/>
    <w:rsid w:val="00833A6F"/>
    <w:rsid w:val="008715A5"/>
    <w:rsid w:val="00874BA4"/>
    <w:rsid w:val="00920E3A"/>
    <w:rsid w:val="00A74FB9"/>
    <w:rsid w:val="00B559C2"/>
    <w:rsid w:val="00D0501F"/>
    <w:rsid w:val="00DC0324"/>
    <w:rsid w:val="00DD6B9B"/>
    <w:rsid w:val="00FB637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257B2"/>
  <w15:docId w15:val="{1BF2B61B-E993-0747-A29C-EE537CB2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00"/>
      <w:outlineLvl w:val="0"/>
    </w:pPr>
    <w:rPr>
      <w:b/>
      <w:bCs/>
      <w:color w:val="000000"/>
      <w:sz w:val="32"/>
      <w:szCs w:val="32"/>
    </w:rPr>
  </w:style>
  <w:style w:type="paragraph" w:styleId="Ttulo2">
    <w:name w:val="heading 2"/>
    <w:uiPriority w:val="9"/>
    <w:unhideWhenUsed/>
    <w:qFormat/>
    <w:pPr>
      <w:spacing w:before="400" w:after="160"/>
      <w:outlineLvl w:val="1"/>
    </w:pPr>
    <w:rPr>
      <w:b/>
      <w:bCs/>
      <w:color w:val="00000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6406F-42E7-7948-AF27-F60DD1F8F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12</Pages>
  <Words>4543</Words>
  <Characters>24534</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Celso Simões</cp:lastModifiedBy>
  <cp:revision>13</cp:revision>
  <dcterms:created xsi:type="dcterms:W3CDTF">2026-05-02T18:46:00Z</dcterms:created>
  <dcterms:modified xsi:type="dcterms:W3CDTF">2026-05-15T13:45:00Z</dcterms:modified>
</cp:coreProperties>
</file>