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3D6A" w:rsidRDefault="00000000">
      <w:pPr>
        <w:pStyle w:val="Ttulo1"/>
        <w:spacing w:line="360" w:lineRule="auto"/>
      </w:pPr>
      <w:r>
        <w:t>Capítulo 2: Revisão da Literatura</w:t>
      </w:r>
    </w:p>
    <w:p w:rsidR="00FF3D6A" w:rsidRDefault="00000000">
      <w:pPr>
        <w:pStyle w:val="Ttulo2"/>
        <w:spacing w:line="360" w:lineRule="auto"/>
      </w:pPr>
      <w:r>
        <w:t>2.1  Alterações Climáticas e a Subida Global do Nível do Mar</w:t>
      </w:r>
    </w:p>
    <w:p w:rsidR="00FF3D6A" w:rsidRDefault="00000000">
      <w:pPr>
        <w:spacing w:after="160" w:line="360" w:lineRule="auto"/>
        <w:jc w:val="both"/>
      </w:pPr>
      <w:r>
        <w:t>A subida do nível do mar (SNM) é uma das consequências físicas mais relevantes das alterações climáticas de origem antrópica. Desde a era pré-industrial, a temperatura média global da superfície terrestre aumentou cerca de 1,1°C, desencadeando um conjunto de transformações no sistema terrestre que afetam a distribuição de água entre os oceanos, a criosfera e os continentes. O nível médio global do mar subiu a uma taxa média de aproximadamente 1,3 mm/ano ao longo do século XX, acelerando para 3,7 mm/ano no período da altimetria por satélite (1993–2018), impulsionado pela expansão t</w:t>
      </w:r>
      <w:r w:rsidR="00E07783">
        <w:t>érmica</w:t>
      </w:r>
      <w:r>
        <w:t xml:space="preserve"> dos oceanos e pela perda acelerada de massa nas calotes glaciares da Gro</w:t>
      </w:r>
      <w:r w:rsidR="00E07783">
        <w:t>nelâ</w:t>
      </w:r>
      <w:r>
        <w:t>ndia e da Antártida (Fox-Kemper et al., 2021). Esta aceleração não é linear: as taxas de subida deverão continuar a aumentar ao longo do século XXI à medida que a dinâmica das massas de gelo e a absorção de calor pelo oceano amplificam a resposta ao forçamento radiativo sustentado.</w:t>
      </w:r>
    </w:p>
    <w:p w:rsidR="00FF3D6A" w:rsidRDefault="00000000">
      <w:pPr>
        <w:spacing w:after="160" w:line="360" w:lineRule="auto"/>
        <w:jc w:val="both"/>
      </w:pPr>
      <w:r>
        <w:t xml:space="preserve">O Sexto Relatório de Avaliação do Painel Intergovernamental sobre as Alterações Climáticas (IPCC AR6) fornece as projeções mais abrangentes e com maior autoridade científica atualmente disponíveis sobre a SNM, estruturadas em torno de diferentes Trajetórias Socioeconómicas Partilhadas (SSP, do inglês </w:t>
      </w:r>
      <w:r>
        <w:rPr>
          <w:i/>
          <w:iCs/>
        </w:rPr>
        <w:t>Shared Socioeconomic Pathways</w:t>
      </w:r>
      <w:r>
        <w:t>) que refletem distintos cenários de emissões de gases com efeito de estufa e de desenvolvimento socioeconómico (Fox-Kemper et al., 2021). N</w:t>
      </w:r>
      <w:r w:rsidR="00E07783">
        <w:t>u</w:t>
      </w:r>
      <w:r>
        <w:t xml:space="preserve">m cenário de baixas emissões, compatível com políticas ambiciosas de mitigação </w:t>
      </w:r>
      <w:r w:rsidR="00E07783">
        <w:t xml:space="preserve">climática </w:t>
      </w:r>
      <w:r>
        <w:t xml:space="preserve">(SSP1-2.6), a SNM global acima da linha de base de 2020 é projetada entre 0,32 e 0,62 metros até 2100, com uma estimativa central próxima de 0,40 metros. Um cenário intermédio (SSP2-4.5) aponta para 0,45 a 0,79 metros, enquanto o cenário de emissões elevadas (SSP5-8.5) — consistente com a continuação de uma forte dependência dos combustíveis fósseis e ação limitada em termos de mitigação — projeta entre 0,63 e 1,02 metros, com contribuições de baixa probabilidade e elevado impacto provenientes da instabilidade das calotes polares que poderão ultrapassar 1,5 metros (Fox-Kemper et al., 2021). Estes três cenários definem o envelope de incerteza adotado no presente estudo, representando futuros otimista, intermédio e pessimista para o litoral português, respetivamente. Importa notar que as projeções de SNM do IPCC AR6 são formalmente publicadas em relação a uma linha de base de referência de 1995–2014; o presente estudo adota 2020 como linha de base de trabalho, o que implica um ajuste ascendente de cerca de </w:t>
      </w:r>
      <w:r>
        <w:lastRenderedPageBreak/>
        <w:t>0,06 metros para contabilizar a subida observada entre o período de referência do AR6 e 2020. Esta conversão é aplicada de forma consistente em todos os cenários e torna os valores centrais adotados ligeiramente conservadores em relação às estimativas centrais publicadas no AR6.</w:t>
      </w:r>
    </w:p>
    <w:p w:rsidR="00FF3D6A" w:rsidRDefault="00000000">
      <w:pPr>
        <w:spacing w:after="160" w:line="360" w:lineRule="auto"/>
        <w:jc w:val="both"/>
      </w:pPr>
      <w:r>
        <w:t>Uma característica crítica destas projeções, com implicações diretas para o planeamento de infraestrutura, é a sua não-linearidade temporal. As taxas de SNM deverão acelerar significativamente após 2050 em todos os cenários, exceto no de mitigação mais agressiva, com as consequências mais graves concentradas no período 2075–2100. Esta trajetória é particularmente relevante para os ativos de infraestrutura de longa duração — portos, linhas ferroviárias, autoestradas e as redes de utilidades que os servem —, concebidos para vidas úteis de 50 a 100 anos e, por conseguinte, expostos a um risco crescente ao longo da segunda metade do século. Uma decisão de investimento tomada hoje irá enfrentar um cenário de nível do mar muito diferente em 2075 daquele que informou o projeto original.</w:t>
      </w:r>
    </w:p>
    <w:p w:rsidR="00FF3D6A" w:rsidRDefault="00000000">
      <w:pPr>
        <w:spacing w:after="160" w:line="360" w:lineRule="auto"/>
        <w:jc w:val="both"/>
      </w:pPr>
      <w:r>
        <w:t>A distribuição geográfica da SNM não é uniforme. Os desvios regionais em relação à média global resultam de variações nos padrões de circulação oceânica, dos efeitos gravitacionais da redistribuição de massa das calotes de gelo e do movimento vertical dos terrenos em locais específicos. Para o Atlântico Norte e a margem ibérica ocidental, a SNM projetada é de magnitude geralmente semelhante à média global, embora o nível do mar local possa divergir da média global devido a variações na circulação oceânica, padrões de vento e movimento vertical do terreno (Fox-Kemper et al., 2021). As projeções globais do IPCC AR6 são utilizadas no presente estudo como dados de entrada do cenário primário — uma simplificação padrão à escala regional; a incerteza do quadro de referência local é tratada separadamente através da variante de sensibilidade ao geoide descrita na Secção 2.7.</w:t>
      </w:r>
    </w:p>
    <w:p w:rsidR="00FF3D6A" w:rsidRDefault="00000000">
      <w:pPr>
        <w:pStyle w:val="Ttulo2"/>
        <w:spacing w:line="360" w:lineRule="auto"/>
      </w:pPr>
      <w:r>
        <w:t>2.2  O Quadro de Avaliação de Risco do IPCC AR6</w:t>
      </w:r>
    </w:p>
    <w:p w:rsidR="00FF3D6A" w:rsidRDefault="00000000">
      <w:pPr>
        <w:spacing w:after="160" w:line="360" w:lineRule="auto"/>
        <w:jc w:val="both"/>
      </w:pPr>
      <w:r>
        <w:t xml:space="preserve">O Grupo de Trabalho II do IPCC AR6 conceptualiza o risco climático como uma função de três componentes </w:t>
      </w:r>
      <w:r w:rsidR="00B255FF">
        <w:t>em interação</w:t>
      </w:r>
      <w:r>
        <w:t xml:space="preserve">: perigo, exposição e vulnerabilidade (Ara Begum et al., 2022). O perigo refere-se ao sinal climático físico e à sua manifestação sob a forma de evento potencialmente danoso — no contexto do presente estudo, a inundação de terrenos costeiros e estuários à medida que o nível do mar sobe. A exposição refere-se às pessoas, ativos, atividades económicas e ecossistemas localizados no domínio espacial onde o perigo ocorre. A vulnerabilidade refere-se à propensão ou predisposição dos elementos expostos para serem </w:t>
      </w:r>
      <w:r>
        <w:lastRenderedPageBreak/>
        <w:t>adversamente afetados, moldada pelas suas características físicas, dependências funcionais e capacidade de adaptação.</w:t>
      </w:r>
    </w:p>
    <w:p w:rsidR="00E07783" w:rsidRDefault="00000000">
      <w:pPr>
        <w:spacing w:after="160" w:line="360" w:lineRule="auto"/>
        <w:jc w:val="both"/>
      </w:pPr>
      <w:r>
        <w:t xml:space="preserve">Este quadro tripartido proporciona uma base rigorosa para estruturar uma avaliação económica multidimensional dos impactos da SNM. </w:t>
      </w:r>
    </w:p>
    <w:p w:rsidR="00E07783" w:rsidRDefault="00000000">
      <w:pPr>
        <w:spacing w:after="160" w:line="360" w:lineRule="auto"/>
        <w:jc w:val="both"/>
      </w:pPr>
      <w:r>
        <w:t xml:space="preserve">O Pilar 1 do presente estudo — Exposição Económica — aborda a interação entre o perigo e a exposição, quantificando a produção económica anual (PIB) das regiões NUTS3 que fica dentro da zona inundada para um dado nível de SNM. </w:t>
      </w:r>
    </w:p>
    <w:p w:rsidR="00E07783" w:rsidRDefault="00000000">
      <w:pPr>
        <w:spacing w:after="160" w:line="360" w:lineRule="auto"/>
        <w:jc w:val="both"/>
      </w:pPr>
      <w:r>
        <w:t xml:space="preserve">O Pilar 2 — Exposição de Ativos — alarga esta análise ao valor de reposição do </w:t>
      </w:r>
      <w:r>
        <w:rPr>
          <w:i/>
          <w:iCs/>
        </w:rPr>
        <w:t>stock</w:t>
      </w:r>
      <w:r>
        <w:t xml:space="preserve"> de infraestrutura física (edifícios, estradas, linhas ferroviárias, redes de utilidades) exposto à inundação permanente. </w:t>
      </w:r>
    </w:p>
    <w:p w:rsidR="00FF3D6A" w:rsidRDefault="00000000">
      <w:pPr>
        <w:spacing w:after="160" w:line="360" w:lineRule="auto"/>
        <w:jc w:val="both"/>
      </w:pPr>
      <w:r>
        <w:t>O Pilar 3 — Risco de Perturbação de Infraestrutura Crítica — aborda a dimensão da vulnerabilidade: não apenas quais os ativos fisicamente localizados na zona de inundação, mas com que frequência se tornam temporariamente inoperacionais devido a eventos de inundação composta e a que custo económico cumulativo ao longo do período 2025–2100.</w:t>
      </w:r>
    </w:p>
    <w:p w:rsidR="00FF3D6A" w:rsidRDefault="00000000">
      <w:pPr>
        <w:spacing w:after="160" w:line="360" w:lineRule="auto"/>
        <w:jc w:val="both"/>
      </w:pPr>
      <w:r>
        <w:t>A adoção do quadro de risco do IPCC AR6 como suporte metodológico principal justifica-se por três razões: o seu estatuto científico como norma internacionalmente aceite para a avaliação de impactos climáticos; a sua consistência interna entre os três pilares analíticos; e o seu alinhamento direto com os cenários SSP utilizados para parametrizar as projeções de SNM. Ao ancorar o estudo neste quadro, os três pilares não constituem apenas análises paralelas realizadas sob um conjunto comum de cenários, mas uma progressão integrada do perigo físico através da exposição económica até ao risco operacional e à resposta de adaptação — uma progressão que espelha a própria estrutura do conceito de risco do IPCC.</w:t>
      </w:r>
    </w:p>
    <w:p w:rsidR="00FF3D6A" w:rsidRDefault="00000000">
      <w:pPr>
        <w:pStyle w:val="Ttulo2"/>
        <w:spacing w:line="360" w:lineRule="auto"/>
      </w:pPr>
      <w:r>
        <w:t>2.3  Modelação de Inundação Costeira</w:t>
      </w:r>
    </w:p>
    <w:p w:rsidR="00FF3D6A" w:rsidRDefault="00000000">
      <w:pPr>
        <w:spacing w:after="160" w:line="360" w:lineRule="auto"/>
        <w:jc w:val="both"/>
      </w:pPr>
      <w:r>
        <w:t>A delimitação espacial das áreas expostas à inundação costeira em cenários de SNM prescritos constitui o passo fundamental de qualquer avaliação de impactos de SNM. Na literatura existem duas grandes abordagens de modelação: os modelos de inundação estática (</w:t>
      </w:r>
      <w:r w:rsidR="00682ECF">
        <w:t>normalment</w:t>
      </w:r>
      <w:r>
        <w:t>e designados</w:t>
      </w:r>
      <w:r w:rsidR="00682ECF">
        <w:t xml:space="preserve"> </w:t>
      </w:r>
      <w:r w:rsidR="00B255FF">
        <w:t>“</w:t>
      </w:r>
      <w:r>
        <w:rPr>
          <w:i/>
          <w:iCs/>
        </w:rPr>
        <w:t>bathtub</w:t>
      </w:r>
      <w:r w:rsidR="00B255FF">
        <w:rPr>
          <w:i/>
          <w:iCs/>
        </w:rPr>
        <w:t xml:space="preserve"> </w:t>
      </w:r>
      <w:proofErr w:type="spellStart"/>
      <w:r w:rsidR="00B255FF">
        <w:rPr>
          <w:i/>
          <w:iCs/>
        </w:rPr>
        <w:t>models</w:t>
      </w:r>
      <w:proofErr w:type="spellEnd"/>
      <w:r w:rsidR="00B255FF">
        <w:rPr>
          <w:i/>
          <w:iCs/>
        </w:rPr>
        <w:t>”</w:t>
      </w:r>
      <w:r w:rsidR="00B255FF">
        <w:t>)</w:t>
      </w:r>
      <w:r>
        <w:t xml:space="preserve"> e os </w:t>
      </w:r>
      <w:r w:rsidRPr="009C384C">
        <w:t>modelos hidrodinâmicos</w:t>
      </w:r>
      <w:r>
        <w:t>. Os modelos dinâmicos, que resolvem as equações de águas rasas para simular a propagação de ondas de cheia no espaço e no tempo, oferecem a maior fidelidade física — captando o forçamento de marés, a amplificação por sobre</w:t>
      </w:r>
      <w:r w:rsidR="00682ECF">
        <w:t>-</w:t>
      </w:r>
      <w:r>
        <w:t xml:space="preserve">elevação meteorológica, o espraiamento de ondas e a </w:t>
      </w:r>
      <w:r>
        <w:lastRenderedPageBreak/>
        <w:t xml:space="preserve">conectividade hidráulica das áreas inundadas em redes de drenagem complexas. No entanto, os seus requisitos computacionais escalam de forma proibitiva às escalas regional e nacional, e as suas exigências em termos de dados — batimetria costeira de alta resolução, climatologia de </w:t>
      </w:r>
      <w:r w:rsidR="009C384C">
        <w:t>sobre-elevação</w:t>
      </w:r>
      <w:r>
        <w:t xml:space="preserve"> meteorológica e geometria costeira detalhada — excedem geralmente o que está disponível à escala </w:t>
      </w:r>
      <w:r w:rsidR="009C384C">
        <w:t>subnacional</w:t>
      </w:r>
      <w:r>
        <w:t xml:space="preserve"> para países como Portugal.</w:t>
      </w:r>
    </w:p>
    <w:p w:rsidR="00FF3D6A" w:rsidRDefault="00000000">
      <w:pPr>
        <w:spacing w:after="160" w:line="360" w:lineRule="auto"/>
        <w:jc w:val="both"/>
      </w:pPr>
      <w:r>
        <w:t xml:space="preserve">Os modelos estáticos de inundação identificam todos os terrenos abaixo de um determinado limiar de elevação como potencialmente inundados, </w:t>
      </w:r>
      <w:r w:rsidR="00B255FF">
        <w:t>desde que exista</w:t>
      </w:r>
      <w:r>
        <w:t xml:space="preserve"> conectividade hidrológica com o mar (Poulter &amp; Halpin, 2008). Esta abordagem não capta a dinâmica temporal da inundação nem os efeitos de eventos de sobre</w:t>
      </w:r>
      <w:r w:rsidR="00682ECF">
        <w:t>-</w:t>
      </w:r>
      <w:r>
        <w:t>elevação, mas está bem estabelecida como método padrão para triagem à escala regional, quantificação da exposição económica e comparação de múltiplos cenários. Poulter e Halpin (2008) demonstraram que os modelos de inundação estática com restrição de conectividade — nos quais apenas as áreas de terreno com uma via hidrológica desimpedida para o mar são sinalizadas como inundadas — superam substancialmente a simples limiarização por elevação no mapeamento de extensões de inundação costeira, reduzindo artefactos espúrios de inundação interior que resultam de depressões topográficas isoladas desligadas da linha de costa. A sua abordagem tem sido amplamente adotada na literatura de revisão por pares em estudos de impacto de SNM à escala regional.</w:t>
      </w:r>
    </w:p>
    <w:p w:rsidR="00FF3D6A" w:rsidRDefault="00000000">
      <w:pPr>
        <w:spacing w:after="160" w:line="360" w:lineRule="auto"/>
        <w:jc w:val="both"/>
      </w:pPr>
      <w:r>
        <w:t>Para o presente estudo, o Modelo Digital de Elevação Copernicus com resolução horizontal de 30 metros (GLO-30) é utilizado como dado de entrada de terreno principal, fornecendo um produto de elevação consistente, de acesso público e com controlo de qualidade que cobre todo o território de Portugal continental (European Space Agency, 2021). Importa salientar que o GLO-30 é um Modelo Digital de Superfície (MDS) e não um Modelo Digital de Terreno (MDT) de solo nu: os valores de elevação que regista refletem o topo do ambiente construído — incluindo coberturas de edifícios, copas de vegetação e infraestrutura — e não o terreno subjacente. Nas células costeiras urbanizadas, tal implica que o modelo atribua alturas de superfície artificialmente elevadas às zonas densamente construídas, subestimando sistematicamente a extensão da inundação onde a concentração do edificado é maior. Os resultados dos Pilares 1 e 2 devem, por conseguinte, ser entendidos como estimativas conservadoras do potencial de inundação estática, e não como extensões de inundação confirmadas por modelação hidrodinâmica. A abordagem estática de inundação é aplicada para os Pilares 1 e 2, em que o objetivo analítico consiste em quantificar a produção económica e o valor de reposição da</w:t>
      </w:r>
      <w:r w:rsidR="00B255FF">
        <w:t>s</w:t>
      </w:r>
      <w:r>
        <w:t xml:space="preserve"> infraestrutura</w:t>
      </w:r>
      <w:r w:rsidR="00B255FF">
        <w:t>s</w:t>
      </w:r>
      <w:r>
        <w:t xml:space="preserve"> situados abaixo de limiares de SNM </w:t>
      </w:r>
      <w:r>
        <w:lastRenderedPageBreak/>
        <w:t xml:space="preserve">progressivamente mais elevados — uma finalidade para a qual o método é empiricamente adequado e computacionalmente tratável em </w:t>
      </w:r>
      <w:r w:rsidR="007350AD">
        <w:t>doze</w:t>
      </w:r>
      <w:r>
        <w:t xml:space="preserve"> regiões NUTS3. As limitações do método, incluindo o efeito do modelo de superfície MDS, a ausência de dinâmica de sobre</w:t>
      </w:r>
      <w:r w:rsidR="007350AD">
        <w:t>-</w:t>
      </w:r>
      <w:r>
        <w:t>elevação, o pressuposto de inundação gradual e permanente e a distribuição uniforme do PIB por cada região NUTS3, são reconhecidas como condições de fronteira da avaliação e abordadas na discussão dos resultados.</w:t>
      </w:r>
    </w:p>
    <w:p w:rsidR="00FF3D6A" w:rsidRDefault="00000000">
      <w:pPr>
        <w:pStyle w:val="Ttulo2"/>
        <w:spacing w:line="360" w:lineRule="auto"/>
      </w:pPr>
      <w:r>
        <w:t>2.4  Eventos de Inundação Composta e Infraestrutura Crítica</w:t>
      </w:r>
    </w:p>
    <w:p w:rsidR="00FF3D6A" w:rsidRDefault="00000000">
      <w:pPr>
        <w:spacing w:after="160" w:line="360" w:lineRule="auto"/>
        <w:jc w:val="both"/>
      </w:pPr>
      <w:r>
        <w:t xml:space="preserve">Embora os modelos estáticos de inundação respondam à questão de quais terrenos e ativos </w:t>
      </w:r>
      <w:r w:rsidR="00B255FF">
        <w:t xml:space="preserve">se </w:t>
      </w:r>
      <w:r>
        <w:t>encontram permanentemente expostos a um dado nível de SNM, uma questão distinta e operacionalmente mais relevante é com que frequência</w:t>
      </w:r>
      <w:r w:rsidR="007350AD">
        <w:t xml:space="preserve"> a</w:t>
      </w:r>
      <w:r w:rsidR="00B255FF">
        <w:t>s</w:t>
      </w:r>
      <w:r>
        <w:t xml:space="preserve"> </w:t>
      </w:r>
      <w:proofErr w:type="spellStart"/>
      <w:r>
        <w:t>infraestrutura</w:t>
      </w:r>
      <w:r w:rsidR="00B255FF">
        <w:t>s</w:t>
      </w:r>
      <w:proofErr w:type="spellEnd"/>
      <w:r>
        <w:t xml:space="preserve"> existente</w:t>
      </w:r>
      <w:r w:rsidR="00B255FF">
        <w:t>s</w:t>
      </w:r>
      <w:r>
        <w:t xml:space="preserve"> — atualmente situada</w:t>
      </w:r>
      <w:r w:rsidR="00B255FF">
        <w:t>s</w:t>
      </w:r>
      <w:r>
        <w:t xml:space="preserve"> acima </w:t>
      </w:r>
      <w:r w:rsidR="00B255FF">
        <w:t>do nível médio de</w:t>
      </w:r>
      <w:r>
        <w:t xml:space="preserve"> preia-mar — ser</w:t>
      </w:r>
      <w:r w:rsidR="00B255FF">
        <w:t>ão</w:t>
      </w:r>
      <w:r>
        <w:t xml:space="preserve"> temporariamente inundada</w:t>
      </w:r>
      <w:r w:rsidR="00B255FF">
        <w:t>s</w:t>
      </w:r>
      <w:r>
        <w:t xml:space="preserve"> por eventos de inundação composta à medida que o nível do mar sobe, e como essa frequência evolui ao longo do tempo. Esta questão requer uma abordagem de modelação fundamentalmente diferente.</w:t>
      </w:r>
    </w:p>
    <w:p w:rsidR="00FF3D6A" w:rsidRDefault="00000000">
      <w:pPr>
        <w:spacing w:after="160" w:line="360" w:lineRule="auto"/>
        <w:jc w:val="both"/>
      </w:pPr>
      <w:r>
        <w:t>Moftakhari et al. (2017) estabeleceram a base teórica e empírica para a modelação da frequência de inundações compostas no contexto da SNM. O seu resultado central, derivado da análise de múltiplos registos de marégrafos nos EUA e validado em relação a distribuições de frequência de cheias hidrológicas, é que a subida do nível do mar acelera dramaticamente a frequência de eventos de inundação composta através da sobreposição aditiva da linha de base ascendente com as contribuições de maré e de sobre</w:t>
      </w:r>
      <w:r w:rsidR="007350AD">
        <w:t>-</w:t>
      </w:r>
      <w:r>
        <w:t>elevação meteorológica. Especificamente, demonstraram que um incremento de 10 cm de SNM reduz aproximadamente para metade o período de retorno de um dado nível de inundação — relação captada pela função exponencial decrescente (Moftakhari et al., 2017):</w:t>
      </w:r>
    </w:p>
    <w:p w:rsidR="00FF3D6A" w:rsidRDefault="00000000">
      <w:pPr>
        <w:spacing w:after="160" w:line="360" w:lineRule="auto"/>
        <w:jc w:val="both"/>
      </w:pPr>
      <w:r>
        <w:rPr>
          <w:i/>
          <w:iCs/>
        </w:rPr>
        <w:t>PR(SNM) = PR₀ × exp(−k × SNM)</w:t>
      </w:r>
    </w:p>
    <w:p w:rsidR="00FF3D6A" w:rsidRDefault="00000000">
      <w:pPr>
        <w:spacing w:after="160" w:line="360" w:lineRule="auto"/>
        <w:jc w:val="both"/>
      </w:pPr>
      <w:r>
        <w:t xml:space="preserve">onde PR₀ é o período de retorno de base (em anos) ao nível do mar atual, SNM é a subida do nível do mar acima da linha de base de 2020 (em metros), e k é a constante de </w:t>
      </w:r>
      <w:r w:rsidRPr="009C384C">
        <w:t>decaimento</w:t>
      </w:r>
      <w:r>
        <w:t xml:space="preserve">. Moftakhari et al. (2017) fornecem o resultado empírico que fundamenta o valor específico adotado neste estudo: um incremento de 10 cm de SNM reduz aproximadamente para metade o período de retorno de um dado nível de inundação numa série de registos de marégrafos costeiros nos EUA, implicando k = ln(2)/0,10 ≈ 6,93. Este valor deve ser entendido como a calibração do quadro de Moftakhari pelo presente estudo — </w:t>
      </w:r>
      <w:r w:rsidRPr="009C384C">
        <w:t xml:space="preserve">um parâmetro definido pelo </w:t>
      </w:r>
      <w:r w:rsidR="009C384C" w:rsidRPr="009C384C">
        <w:lastRenderedPageBreak/>
        <w:t xml:space="preserve">Autor </w:t>
      </w:r>
      <w:r w:rsidRPr="009C384C">
        <w:t>derivado desse resultado empírico e aplicado</w:t>
      </w:r>
      <w:r>
        <w:t xml:space="preserve"> de forma consistente em todas as secções de infraestrutura — e não como um valor explicitamente tabelado no artigo de origem. As implicações de sensibilidade são examinadas no capítulo de metodologia. Embora derivada de registos de marégrafos nos EUA, esta relação é aplicada como uma aproximação de primeira ordem na ausência de estudos específicos de frequência de inundação composta para Portugal. Este quadro tornou-se um instrumento padrão para traduzir projeções de SNM em frequência de encerramento de infraestrutura</w:t>
      </w:r>
      <w:r w:rsidR="00B255FF">
        <w:t>s</w:t>
      </w:r>
      <w:r>
        <w:t>, e constitui o núcleo do modelo de perturbação composta aplicado às dez secções de infraestrutura</w:t>
      </w:r>
      <w:r w:rsidR="007350AD">
        <w:t>s</w:t>
      </w:r>
      <w:r>
        <w:t xml:space="preserve"> crítica</w:t>
      </w:r>
      <w:r w:rsidR="007350AD">
        <w:t>s</w:t>
      </w:r>
      <w:r>
        <w:t xml:space="preserve"> no Pilar 3 do presente estudo: </w:t>
      </w:r>
      <w:r w:rsidR="007350AD">
        <w:t>o troço</w:t>
      </w:r>
      <w:r>
        <w:t xml:space="preserve"> ferroviári</w:t>
      </w:r>
      <w:r w:rsidR="007350AD">
        <w:t>o</w:t>
      </w:r>
      <w:r>
        <w:t xml:space="preserve"> </w:t>
      </w:r>
      <w:r w:rsidR="007350AD">
        <w:t>n</w:t>
      </w:r>
      <w:r>
        <w:t>o Mondego</w:t>
      </w:r>
      <w:r w:rsidR="007350AD">
        <w:t xml:space="preserve"> da Linha do Norte</w:t>
      </w:r>
      <w:r>
        <w:t xml:space="preserve"> (Alfarelos–Formoselha), </w:t>
      </w:r>
      <w:r w:rsidR="007350AD">
        <w:t>o troço</w:t>
      </w:r>
      <w:r>
        <w:t xml:space="preserve"> ferroviári</w:t>
      </w:r>
      <w:r w:rsidR="007350AD">
        <w:t>o</w:t>
      </w:r>
      <w:r>
        <w:t xml:space="preserve"> </w:t>
      </w:r>
      <w:r w:rsidR="007350AD">
        <w:t>da Linha do Norte n</w:t>
      </w:r>
      <w:r>
        <w:t xml:space="preserve">a planície aluvial do Tejo (Castanheira–Alverca), o </w:t>
      </w:r>
      <w:r w:rsidR="007350AD">
        <w:t>troço</w:t>
      </w:r>
      <w:r>
        <w:t xml:space="preserve"> ferroviário </w:t>
      </w:r>
      <w:r w:rsidR="007350AD">
        <w:t>n</w:t>
      </w:r>
      <w:r>
        <w:t>a Ria de Aveiro</w:t>
      </w:r>
      <w:r w:rsidR="007350AD">
        <w:t xml:space="preserve"> da Linha do Norte</w:t>
      </w:r>
      <w:r>
        <w:t>, o Porto de Leixões, o Porto de Lisboa, o Porto de Setúbal, o troço costeiro Faro–Olhão da Linha do Algarve, o troço estuarino Portimão/Arade da Linha do Algarve, a autoestrada A14 na travessia do Mondego e o troço estuarino da A1. Estas dez secções são analisadas em oito scripts de modelação; os três principais portos comerciais são avaliados no âmbito de um único quadro portuário unificado.</w:t>
      </w:r>
    </w:p>
    <w:p w:rsidR="00FF3D6A" w:rsidRDefault="00000000">
      <w:pPr>
        <w:spacing w:after="160" w:line="360" w:lineRule="auto"/>
        <w:jc w:val="both"/>
      </w:pPr>
      <w:r>
        <w:t>As implicações para a</w:t>
      </w:r>
      <w:r w:rsidR="00B255FF">
        <w:t>s</w:t>
      </w:r>
      <w:r>
        <w:t xml:space="preserve"> infraestrutura</w:t>
      </w:r>
      <w:r w:rsidR="00B255FF">
        <w:t>s</w:t>
      </w:r>
      <w:r>
        <w:t xml:space="preserve"> crítica</w:t>
      </w:r>
      <w:r w:rsidR="00B255FF">
        <w:t>s</w:t>
      </w:r>
      <w:r>
        <w:t xml:space="preserve"> são graves e não-lineares. </w:t>
      </w:r>
      <w:r w:rsidR="00570A0D">
        <w:t xml:space="preserve">Uma secção ferroviária sujeita atualmente a inundações com uma periodicidade de dez anos passará, com uma subida de 20 cm no nível do mar, a registar encerramentos com uma periodicidade de aproximadamente 2,5 anos — uma frequência </w:t>
      </w:r>
      <w:r w:rsidR="008313E2">
        <w:t xml:space="preserve">anual </w:t>
      </w:r>
      <w:r w:rsidR="00570A0D">
        <w:t>de encerramento quatro vezes superior</w:t>
      </w:r>
      <w:r>
        <w:t>. À medida que os dias anuais de encerramento a</w:t>
      </w:r>
      <w:r w:rsidR="009451F7">
        <w:t>cumulados aumentam</w:t>
      </w:r>
      <w:r>
        <w:t>,</w:t>
      </w:r>
      <w:r w:rsidR="009451F7">
        <w:t xml:space="preserve"> estes</w:t>
      </w:r>
      <w:r>
        <w:t xml:space="preserve"> aproximam-se de um limite físico de 365 dias, ponto a partir do qual a secção de infraestrutura pode ser considerada funcionalmente inoperacional</w:t>
      </w:r>
      <w:r w:rsidR="009451F7">
        <w:t>,</w:t>
      </w:r>
      <w:r>
        <w:t xml:space="preserve"> numa base essencialmente permanente. Esta transição qualitativa de</w:t>
      </w:r>
      <w:r w:rsidR="009451F7">
        <w:t xml:space="preserve"> uma</w:t>
      </w:r>
      <w:r>
        <w:t xml:space="preserve"> perturbação periódica para </w:t>
      </w:r>
      <w:r w:rsidR="009451F7">
        <w:t xml:space="preserve">uma </w:t>
      </w:r>
      <w:r>
        <w:t>falha permanente representa uma condição limiar com implicações sistémicas para as redes de transporte e cadeias de abastecimento que dependem das secções afetadas.</w:t>
      </w:r>
      <w:r w:rsidR="009451F7">
        <w:t xml:space="preserve"> </w:t>
      </w:r>
      <w:r w:rsidR="00570A0D">
        <w:t xml:space="preserve">Na ausência de medidas de adaptação, as infraestruturas que atingem ou </w:t>
      </w:r>
      <w:r w:rsidR="0016223C">
        <w:t xml:space="preserve">excedem </w:t>
      </w:r>
      <w:r w:rsidR="00570A0D">
        <w:t xml:space="preserve">este limiar devem ser interpretadas como tendo alcançado o teto máximo do modelo — e não como uma previsão determinística de colapso. </w:t>
      </w:r>
      <w:r>
        <w:t>A plausibilidade física deste limite é aplicada em todo o modelo, fixando os dias anuais de encerramento em 365 — qualqu</w:t>
      </w:r>
      <w:r w:rsidR="009451F7">
        <w:t>er ultrapassagem deste valor</w:t>
      </w:r>
      <w:r>
        <w:t xml:space="preserve"> representa </w:t>
      </w:r>
      <w:r w:rsidR="00B255FF">
        <w:t xml:space="preserve">uma </w:t>
      </w:r>
      <w:r>
        <w:t>infraestrutura que, no cenário modelado, cessou efetivamente de funcionar como ativo de transporte.</w:t>
      </w:r>
    </w:p>
    <w:p w:rsidR="00FF3D6A" w:rsidRDefault="00000000">
      <w:pPr>
        <w:pStyle w:val="Ttulo2"/>
        <w:spacing w:line="360" w:lineRule="auto"/>
      </w:pPr>
      <w:r>
        <w:t>2.5  Perturbação da</w:t>
      </w:r>
      <w:r w:rsidR="00B255FF">
        <w:t>s</w:t>
      </w:r>
      <w:r>
        <w:t xml:space="preserve"> Infraestrutura</w:t>
      </w:r>
      <w:r w:rsidR="00B255FF">
        <w:t>s</w:t>
      </w:r>
      <w:r>
        <w:t xml:space="preserve"> e Custos Económicos</w:t>
      </w:r>
    </w:p>
    <w:p w:rsidR="00FF3D6A" w:rsidRDefault="00000000">
      <w:pPr>
        <w:spacing w:after="160" w:line="360" w:lineRule="auto"/>
        <w:jc w:val="both"/>
      </w:pPr>
      <w:r>
        <w:lastRenderedPageBreak/>
        <w:t xml:space="preserve">A quantificação económica dos custos de </w:t>
      </w:r>
      <w:r w:rsidR="00B255FF">
        <w:t>perturbação</w:t>
      </w:r>
      <w:r>
        <w:t xml:space="preserve"> da</w:t>
      </w:r>
      <w:r w:rsidR="00B255FF">
        <w:t>s</w:t>
      </w:r>
      <w:r>
        <w:t xml:space="preserve"> infraestrutura</w:t>
      </w:r>
      <w:r w:rsidR="00B255FF">
        <w:t>s</w:t>
      </w:r>
      <w:r>
        <w:t xml:space="preserve"> é um domínio metodologicamente contestado. </w:t>
      </w:r>
      <w:r w:rsidR="0016223C">
        <w:t>Para infraestruturas de transporte, incluindo infraestruturas portuárias</w:t>
      </w:r>
      <w:r>
        <w:t xml:space="preserve">, existem na literatura duas grandes abordagens: os métodos baseados no valor da carga e os métodos de taxa de perturbação diária. Os métodos baseados no valor da carga estimam os custos económicos como uma fração do valor total das mercadorias ou passageiros atrasados, com base em avaliações de mercado, </w:t>
      </w:r>
      <w:r w:rsidRPr="0078299F">
        <w:t xml:space="preserve">pressupostos </w:t>
      </w:r>
      <w:r w:rsidR="0078299F" w:rsidRPr="0078299F">
        <w:t>relativos aos</w:t>
      </w:r>
      <w:r w:rsidRPr="0078299F">
        <w:t xml:space="preserve"> custo</w:t>
      </w:r>
      <w:r w:rsidR="0078299F" w:rsidRPr="0078299F">
        <w:t>s</w:t>
      </w:r>
      <w:r w:rsidRPr="0078299F">
        <w:t xml:space="preserve"> de posse de inventário e penalizações por mudança modal. Esta abordagem</w:t>
      </w:r>
      <w:r>
        <w:t xml:space="preserve"> tem apelo intuitivo, mas produz resultados que confundem o valor bruto das mercadorias em trânsito com a perda económica marginal do atraso — a esmagadora maioria d</w:t>
      </w:r>
      <w:r w:rsidR="00200A50">
        <w:t>a qual</w:t>
      </w:r>
      <w:r>
        <w:t xml:space="preserve"> consiste em transações adiadas, e não perdidas definitivamente.</w:t>
      </w:r>
    </w:p>
    <w:p w:rsidR="00FF3D6A" w:rsidRDefault="00000000">
      <w:pPr>
        <w:spacing w:after="160" w:line="360" w:lineRule="auto"/>
        <w:jc w:val="both"/>
      </w:pPr>
      <w:r>
        <w:t xml:space="preserve">As limitações das abordagens baseadas no valor da carga foram claramente expostas pela evidência empírica do bloqueio do Canal de Suez em março de 2021, quando o navio porta-contentores </w:t>
      </w:r>
      <w:r>
        <w:rPr>
          <w:i/>
          <w:iCs/>
        </w:rPr>
        <w:t>Ever Given</w:t>
      </w:r>
      <w:r>
        <w:t xml:space="preserve"> obstruiu o comércio marítimo global durante aproximadamente seis dias. O evento atrasou cerca de 26,5 mil milhões de euros em carga, mas as perdas económicas efetivas foram substancialmente inferiores ao valor global da carga, uma vez que a esmagadora maioria dos carregamentos foi redirecionada ou reprogramada com perturbação terminal limitada (Tran et al., 2025). Tran et al. (2025) estimaram o custo direto da cadeia de abastecimento em 3–7% do valor da carga atrasada por semana de perturbação. Esta base empírica motivou o desenvolvimento de quadros de Taxa Crítica de Perturbação Diária (TCPD), que expressam os custos de </w:t>
      </w:r>
      <w:r w:rsidR="00B255FF">
        <w:t>perturbação</w:t>
      </w:r>
      <w:r>
        <w:t xml:space="preserve"> como uma taxa diária aplicada aos dias reais de encerramento, em vez de uma fração do valor do</w:t>
      </w:r>
      <w:r w:rsidR="0078299F">
        <w:t xml:space="preserve"> tráfego escoado</w:t>
      </w:r>
      <w:r w:rsidRPr="000731FB">
        <w:rPr>
          <w:highlight w:val="yellow"/>
        </w:rPr>
        <w:t>.</w:t>
      </w:r>
    </w:p>
    <w:p w:rsidR="00FF3D6A" w:rsidRDefault="00000000">
      <w:pPr>
        <w:spacing w:after="160" w:line="360" w:lineRule="auto"/>
        <w:jc w:val="both"/>
      </w:pPr>
      <w:r>
        <w:t>A abordagem TCPD adotada no presente estudo capta três camadas de impacto económico. A banda baixa capta os custos operacionais diretos: taxas de desvio de navios, sobretaxas de logística de emergência, perdas de carga perecível e penalizações imediatas por atraso de frete. A banda média acrescenta os custos indiretos: penalizações por reorganização da cadeia de abastecimento, custos de mudança modal (ferrovia para estrada, mar para ar) e perdas de produtividade em instalações de produção dependentes. A banda alta incorpora ainda os custos sistémicos: efeitos de confiança nas decisões de encaminhamento comercial, perdas económicas induzidas pela perturbação da produção em fabricantes com dependência just-in-time e impactos reputacionais nos fluxos de investimento. Esta estrutura é calibrada para o contexto da</w:t>
      </w:r>
      <w:r w:rsidR="00B255FF">
        <w:t>s</w:t>
      </w:r>
      <w:r>
        <w:t xml:space="preserve"> infraestrutura</w:t>
      </w:r>
      <w:r w:rsidR="00B255FF">
        <w:t>s</w:t>
      </w:r>
      <w:r>
        <w:t xml:space="preserve"> portuguesa</w:t>
      </w:r>
      <w:r w:rsidR="00B255FF">
        <w:t>s</w:t>
      </w:r>
      <w:r>
        <w:t xml:space="preserve"> — nomeadamente o complexo de produção AutoEuropa/Volkswagen em Setúbal, onde as dependências just-in-time da cadeia de abastecimento criam uma sensibilidade aguda à perturbação portuária.</w:t>
      </w:r>
    </w:p>
    <w:p w:rsidR="00FF3D6A" w:rsidRDefault="00000000">
      <w:pPr>
        <w:spacing w:after="160" w:line="360" w:lineRule="auto"/>
        <w:jc w:val="both"/>
      </w:pPr>
      <w:r>
        <w:lastRenderedPageBreak/>
        <w:t>A análise custo-benefício das medidas de adaptação para infraestrutura</w:t>
      </w:r>
      <w:r w:rsidR="00B255FF">
        <w:t>s</w:t>
      </w:r>
      <w:r>
        <w:t xml:space="preserve"> exposta</w:t>
      </w:r>
      <w:r w:rsidR="0016223C">
        <w:t>s</w:t>
      </w:r>
      <w:r>
        <w:t xml:space="preserve"> ao clima levanta desafios metodológicos adicionais. A escolha da taxa de desconto influencia substancialmente o valor atual dos custos que acumulam predominantemente no período pós-2050. O Relatório Stern (Stern, 2006) argumentou a favor de taxas de desconto social próximas de zero na análise de política climática, com base no facto de que as taxas de desconto de mercado padrão subvaloriza</w:t>
      </w:r>
      <w:r w:rsidR="000731FB">
        <w:t xml:space="preserve">rem </w:t>
      </w:r>
      <w:r>
        <w:t xml:space="preserve">sistematicamente o bem-estar das gerações futuras. Weitzman (Weitzman, 2007) demonstrou que a taxa de desconto adequada para projetos ambientais de longo horizonte é inerentemente incerta e deve diminuir ao longo do tempo. Em resposta a este debate, e para preservar a transparência das comparações de custos nominais entre cenários, o presente estudo </w:t>
      </w:r>
      <w:r w:rsidR="008313E2">
        <w:t>apresenta</w:t>
      </w:r>
      <w:r>
        <w:t xml:space="preserve"> os custos cumulativos de perturbação sem atualização financeira — apresentando os custos em termos nominais tal como seriam incorridos, permitindo que a análise do </w:t>
      </w:r>
      <w:r w:rsidR="00C11B5A">
        <w:t>break-even</w:t>
      </w:r>
      <w:r>
        <w:t xml:space="preserve"> da adaptação seja lida diretamente em relação às despesas nominais de infraestrutura</w:t>
      </w:r>
      <w:r w:rsidR="00B255FF">
        <w:t>s</w:t>
      </w:r>
      <w:r>
        <w:t>.</w:t>
      </w:r>
    </w:p>
    <w:p w:rsidR="00FF3D6A" w:rsidRDefault="00000000">
      <w:pPr>
        <w:pStyle w:val="Ttulo2"/>
        <w:spacing w:line="360" w:lineRule="auto"/>
      </w:pPr>
      <w:r>
        <w:t>2.6  O Contexto Costeiro Português</w:t>
      </w:r>
    </w:p>
    <w:p w:rsidR="00FF3D6A" w:rsidRDefault="00000000">
      <w:pPr>
        <w:spacing w:after="160" w:line="360" w:lineRule="auto"/>
        <w:jc w:val="both"/>
      </w:pPr>
      <w:r>
        <w:t xml:space="preserve">O litoral atlântico de Portugal estende-se por aproximadamente </w:t>
      </w:r>
      <w:r w:rsidR="000731FB">
        <w:t>943</w:t>
      </w:r>
      <w:r>
        <w:t xml:space="preserve"> quilómetros ao longo das margens ocidental e meridional da Península Ibérica, englobando uma diversidade de geomorfologias costeiras: cabos rochosos expostos, sistemas de praia-barreira, ambientes estu</w:t>
      </w:r>
      <w:r w:rsidR="00B255FF">
        <w:t>arinos</w:t>
      </w:r>
      <w:r>
        <w:t xml:space="preserve"> complexos e planícies aluviais de baixa altitude. Das regiões NUTS3 do território continental português, </w:t>
      </w:r>
      <w:r w:rsidR="000731FB">
        <w:t>doze</w:t>
      </w:r>
      <w:r>
        <w:t xml:space="preserve"> apresentam exposição costeira ou estu</w:t>
      </w:r>
      <w:r w:rsidR="00AD2541">
        <w:t xml:space="preserve">arina </w:t>
      </w:r>
      <w:r>
        <w:t>direta e estão, por conseguinte, sujeitas aos impactos de SNM quantificados no presente estudo. As regiões interiores restantes estão incluídas na base de dados espacial NUTS3, mas registam exposição à inundação negligenciável em todos os cenários e são classificadas em conformidade.</w:t>
      </w:r>
    </w:p>
    <w:p w:rsidR="00FF3D6A" w:rsidRDefault="00000000">
      <w:pPr>
        <w:spacing w:after="160" w:line="360" w:lineRule="auto"/>
        <w:jc w:val="both"/>
      </w:pPr>
      <w:r>
        <w:t xml:space="preserve">Os registos observacionais do nível do mar nos marégrafos portugueses constituem a base empírica primária para avaliar as tendências históricas de SNM e validar a consistência dos cenários. O registo de Cascais, que remonta a 1882, é a série contínua de marégrafo mais longa de Portugal e tem sido amplamente utilizado em estudos nacionais e europeus sobre o nível do mar. Os registos de Leixões (desde 1956) e Sines (desde 1977) alargam a rede observacional à costa atlântica setentrional e meridional, respetivamente. A análise destes registos revela uma aceleração clara na taxa de SNM no período da altimetria por satélite após 1993: as tendências do registo completo em Leixões (+0,96 mm/ano) e Sines (+3,31 mm/ano) são substancialmente ultrapassadas pelas tendências pós-1993 de +3,16 mm/ano e +5,06 </w:t>
      </w:r>
      <w:r>
        <w:lastRenderedPageBreak/>
        <w:t>mm/ano, respetivamente (PSMSL, 2024), consistentes com a aceleração global para aproximadamente 3,7 mm/ano na era da altimetria por satélite (Fox-Kemper et al., 2021).</w:t>
      </w:r>
    </w:p>
    <w:p w:rsidR="00FF3D6A" w:rsidRDefault="00000000">
      <w:pPr>
        <w:spacing w:after="160" w:line="360" w:lineRule="auto"/>
        <w:jc w:val="both"/>
      </w:pPr>
      <w:r>
        <w:t>Três sistemas estu</w:t>
      </w:r>
      <w:r w:rsidR="00AD2541">
        <w:t>arinos</w:t>
      </w:r>
      <w:r>
        <w:t xml:space="preserve"> e lagunares merecem atenção particular dado que combinam terrenos de baixa altitude, conectividade hidráulica com o mar e proximidade de </w:t>
      </w:r>
      <w:r w:rsidR="0016223C">
        <w:t xml:space="preserve">infraestruturas </w:t>
      </w:r>
      <w:r>
        <w:t>crítica</w:t>
      </w:r>
      <w:r w:rsidR="0016223C">
        <w:t>s</w:t>
      </w:r>
      <w:r>
        <w:t xml:space="preserve"> naciona</w:t>
      </w:r>
      <w:r w:rsidR="0016223C">
        <w:t>is</w:t>
      </w:r>
      <w:r>
        <w:t>. A Ria de Aveiro é uma lagoa costeira pouco profunda no centro-norte de Portugal, ligada ao Atlântico através de uma única embocadura de maré modificada em Barra–Costa Nova. Lopes et al. (2011) demonstraram que o sistema lagunar é particularmente sensível à SNM, sendo que mesmo incrementos modestos no nível médio do mar alargam substancialmente a área inundada no interior do perímetro da ria em condições de tempestade e maré compostas. A rede ferroviária operada pela CP (Comboios de Portugal) atravessa a margem ocidental da lagoa num aterro a aproximadamente 0,7–1,2 metros acima do nível médio do mar, tornando-a numa das secções mais vulneráveis da rede nacional. A função protetora hidráulica do sistema de barr</w:t>
      </w:r>
      <w:r w:rsidR="0016223C">
        <w:t>eira</w:t>
      </w:r>
      <w:r>
        <w:t xml:space="preserve"> Barra–Costa Nova é tratada no presente estudo como um limiar binário (Fortunato et al., 2013): a integridade </w:t>
      </w:r>
      <w:r w:rsidR="00C11B5A">
        <w:t>do sistema barreira Barra-Costa Nova</w:t>
      </w:r>
      <w:r>
        <w:t xml:space="preserve"> é assumida abaixo de um limiar crítico de SNM, e o galgamento ou r</w:t>
      </w:r>
      <w:r w:rsidR="000731FB">
        <w:t>up</w:t>
      </w:r>
      <w:r>
        <w:t>tura catastr</w:t>
      </w:r>
      <w:r w:rsidR="000731FB">
        <w:t>ó</w:t>
      </w:r>
      <w:r>
        <w:t>fica é assumid</w:t>
      </w:r>
      <w:r w:rsidR="0016223C">
        <w:t>o</w:t>
      </w:r>
      <w:r>
        <w:t xml:space="preserve"> acima desse limiar, consistente com a natureza irreversível da dinâmica das embocaduras mareais a esta escala.</w:t>
      </w:r>
    </w:p>
    <w:p w:rsidR="00FF3D6A" w:rsidRDefault="00000000">
      <w:pPr>
        <w:spacing w:after="160" w:line="360" w:lineRule="auto"/>
        <w:jc w:val="both"/>
      </w:pPr>
      <w:r>
        <w:t xml:space="preserve">O estuário do Tejo — o maior de Portugal, com uma extensão de aproximadamente 56 km para o interior a partir de Lisboa — apresenta um perfil de risco distinto. A planície aluvial do Tejo entre Castanheira do Ribatejo e Alverca constitui uma das secções mais baixas da rede ferroviária nacional, percorrendo a cerca de 2,0 metros acima do nível médio do mar nos seus pontos mais </w:t>
      </w:r>
      <w:r w:rsidRPr="00940C78">
        <w:t>vulneráveis (</w:t>
      </w:r>
      <w:r w:rsidR="00940C78" w:rsidRPr="00940C78">
        <w:t>análise do Autor, European Space Agency, 2021</w:t>
      </w:r>
      <w:r w:rsidRPr="00940C78">
        <w:t xml:space="preserve">). </w:t>
      </w:r>
      <w:r w:rsidR="00940C78">
        <w:t>O vale do Tejo tem uma história documentada de eventos de cheia composta catastróficos, nos quais a coincidência de caudal fluvial elevado, sobre-elevação meteorológica e preia-mar viva produz extensões de inundação significativamente superiores às atribuíveis a qualquer mecanismo individualmente (Fernández-Nóvoa et al., 2024; Moftakhari et al., 2017).</w:t>
      </w:r>
      <w:r w:rsidR="0016223C">
        <w:t xml:space="preserve"> </w:t>
      </w:r>
      <w:r w:rsidR="0016223C">
        <w:t xml:space="preserve">Embora situada aproximadamente entre 4 e 9 metros acima do nível médio do mar, </w:t>
      </w:r>
      <w:proofErr w:type="gramStart"/>
      <w:r w:rsidR="0016223C">
        <w:t>e portanto</w:t>
      </w:r>
      <w:proofErr w:type="gramEnd"/>
      <w:r w:rsidR="0016223C">
        <w:t xml:space="preserve"> fora do envelope de inundação costeira direta, esta secção permanece exposta através do mesmo mecanismo de retrocesso hidráulico </w:t>
      </w:r>
      <w:proofErr w:type="spellStart"/>
      <w:r w:rsidR="0016223C">
        <w:t>flúvio</w:t>
      </w:r>
      <w:proofErr w:type="spellEnd"/>
      <w:r w:rsidR="0016223C">
        <w:t>-marítimo: a subida do nível do mar condiciona progressivamente a drenagem estuarina, agravando a frequência e severidade das cheias fluviais a montante. A travessia da A14 no Mondego é incluída com base no mesmo mecanismo.</w:t>
      </w:r>
    </w:p>
    <w:p w:rsidR="00AD2541" w:rsidRDefault="00AD2541">
      <w:pPr>
        <w:spacing w:after="160" w:line="360" w:lineRule="auto"/>
        <w:jc w:val="both"/>
      </w:pPr>
      <w:r>
        <w:lastRenderedPageBreak/>
        <w:t xml:space="preserve">Eventos meteorológicos severos recentes em Portugal provocaram interrupções operacionais na rede ferroviária associadas a inundações, incluindo suspensões de circulação em secções da Linha do Norte e de outras linhas nacionais, ilustrando a vulnerabilidade operacional de infraestruturas ferroviárias expostas a eventos </w:t>
      </w:r>
      <w:proofErr w:type="spellStart"/>
      <w:r>
        <w:t>hidrometeorológicos</w:t>
      </w:r>
      <w:proofErr w:type="spellEnd"/>
      <w:r>
        <w:t xml:space="preserve"> extremos (CP, 2026).</w:t>
      </w:r>
    </w:p>
    <w:p w:rsidR="00FF3D6A" w:rsidRDefault="00000000">
      <w:pPr>
        <w:spacing w:after="160" w:line="360" w:lineRule="auto"/>
        <w:jc w:val="both"/>
      </w:pPr>
      <w:r>
        <w:t xml:space="preserve">A geografia económica do litoral português amplifica ainda mais o risco. A região NUTS3 da Grande Lisboa — englobando Lisboa e o seu </w:t>
      </w:r>
      <w:r w:rsidR="00940C78">
        <w:t xml:space="preserve">território de Interior </w:t>
      </w:r>
      <w:r>
        <w:t>imediato — concentra uma quota desproporcionada do PIB nacional e do valor de reposição da</w:t>
      </w:r>
      <w:r w:rsidR="00B255FF">
        <w:t>s</w:t>
      </w:r>
      <w:r>
        <w:t xml:space="preserve"> infraestrutura</w:t>
      </w:r>
      <w:r w:rsidR="00B255FF">
        <w:t>s</w:t>
      </w:r>
      <w:r>
        <w:t xml:space="preserve"> numa aglomeração urbana costeira relativamente compacta exposta à inundação do estuário do Tejo; a quantificação específica desta exposição é apresentada nos resultados. </w:t>
      </w:r>
      <w:r w:rsidR="00940C78">
        <w:t>Os três portos comerciais referidos neste estudo — Leixões (Porto), Lisboa e Setúbal — movimentaram coletivamente cerca de 32 milhões de toneladas de carga em 2024 (Ports Europe, 2024) e constituem nós críticos na rede de comércio externo português.</w:t>
      </w:r>
    </w:p>
    <w:p w:rsidR="00FF3D6A" w:rsidRDefault="00000000">
      <w:pPr>
        <w:pStyle w:val="Ttulo2"/>
        <w:spacing w:line="360" w:lineRule="auto"/>
      </w:pPr>
      <w:r>
        <w:t>2.7  Subida Relativa do Nível do Mar e Correções do Geoide</w:t>
      </w:r>
    </w:p>
    <w:p w:rsidR="00FF3D6A" w:rsidRDefault="00000000">
      <w:pPr>
        <w:spacing w:after="160" w:line="360" w:lineRule="auto"/>
        <w:jc w:val="both"/>
      </w:pPr>
      <w:r>
        <w:t xml:space="preserve">É necessário estabelecer uma distinção sistemática entre a subida do nível médio global do mar (SNMGM) — a grandeza reportada pelo IPCC AR6 e medida pela altimetria por satélite — e a subida relativa do nível do mar (SRNM), que é a grandeza operacionalmente relevante para o planeamento da infraestrutura costeira. A SRNM define-se como a variação do nível do mar em relação à superfície terrestre local, incorporando tanto a SNMGM como o movimento vertical do terreno (MVT). </w:t>
      </w:r>
      <w:r w:rsidR="009509A5">
        <w:t>Nas zonas onde o solo está em afundamento — como em muitos deltas fluviais sedimentares e zonas costeiras tectonicamente ativas —, a SRNM excede a SNMGM, amplificando o impacto físico de um dado cenário de emissões</w:t>
      </w:r>
      <w:r>
        <w:t xml:space="preserve">. </w:t>
      </w:r>
      <w:r w:rsidR="009509A5">
        <w:t>Pelo contrário, o levantamento isostático pós-glaciar na Escandinávia gera um MVT negativo que contrabalança a SNMGM, reduzindo a SRNM.</w:t>
      </w:r>
    </w:p>
    <w:p w:rsidR="00FF3D6A" w:rsidRDefault="00000000">
      <w:pPr>
        <w:spacing w:after="160" w:line="360" w:lineRule="auto"/>
        <w:jc w:val="both"/>
      </w:pPr>
      <w:r>
        <w:t xml:space="preserve">Uma vez que os estudos de impacto costeiro dependem de quadros de referência verticais consistentes, o presente estudo inclui um cenário de sensibilidade ao geoide de +0,15 m para testar o efeito de um eventual desfasamento plausível no quadro de referência de elevação (Seeger &amp; Minderhoud, 2026). Este desfasamento não é tratado como uma correção atlântica universal confirmada; é um cenário de sensibilidade conservador destinado a avaliar a sensibilidade das estimativas de exposição à incerteza do quadro de referência entre o DEM Copernicus e a linha de base dos marégrafos. A sensibilidade é particularmente determinante no curto prazo: em 2030, quando o SSP5-8.5 projeta apenas 0,13 metros de SNMGM acima </w:t>
      </w:r>
      <w:r>
        <w:lastRenderedPageBreak/>
        <w:t>da linha de base de 2020, um desfasamento de +0,15 m mais do que duplica o sinal efetivo de SNM. Em 2100, no âmbito do SSP5-8.5, a variante +Geoide aumenta a SNM total projetada de 1,00 para 1,15 metros, traduzindo-se em zonas de inundação alargadas e frequências de perturbação da infraestrutura aceleradas em relação à projeção de base.</w:t>
      </w:r>
    </w:p>
    <w:p w:rsidR="00FF3D6A" w:rsidRDefault="00000000">
      <w:pPr>
        <w:pStyle w:val="Ttulo2"/>
        <w:spacing w:line="360" w:lineRule="auto"/>
      </w:pPr>
      <w:r>
        <w:t xml:space="preserve">2.8  </w:t>
      </w:r>
      <w:r w:rsidR="000731FB">
        <w:t>Machine Learning</w:t>
      </w:r>
      <w:r>
        <w:t xml:space="preserve"> na Classificação Espacial de Risco</w:t>
      </w:r>
    </w:p>
    <w:p w:rsidR="009509A5" w:rsidRDefault="009509A5">
      <w:pPr>
        <w:spacing w:after="160" w:line="360" w:lineRule="auto"/>
        <w:jc w:val="both"/>
      </w:pPr>
      <w:r>
        <w:t xml:space="preserve">Os métodos de aprendizagem automática não supervisionada — e em particular o agrupamento K-Means — têm ganho crescente aplicação na avaliação espacial de risco, no zonamento ambiental e na classificação geográfica. O K-Means, formalizado por MacQueen (1967), particiona um conjunto de n observações em k grupos, minimizando iterativamente a soma </w:t>
      </w:r>
      <w:r w:rsidR="00FB1C4C">
        <w:t>intragrupo</w:t>
      </w:r>
      <w:r>
        <w:t xml:space="preserve"> dos quadrados das distâncias euclidianas ao </w:t>
      </w:r>
      <w:r w:rsidR="00FB1C4C">
        <w:t>centroide</w:t>
      </w:r>
      <w:r>
        <w:t>. O algoritmo não exige conhecimento prévio da estrutura dos grupos: identifica agrupamentos naturais no espaço de características com base na semelhança multidimensional das observações, sem que o analista imponha limiares arbitrários às variáveis individuais.</w:t>
      </w:r>
    </w:p>
    <w:p w:rsidR="00FF3D6A" w:rsidRPr="000731FB" w:rsidRDefault="00000000">
      <w:pPr>
        <w:spacing w:after="160" w:line="360" w:lineRule="auto"/>
        <w:jc w:val="both"/>
      </w:pPr>
      <w:r>
        <w:t xml:space="preserve">No contexto da classificação espacial de </w:t>
      </w:r>
      <w:r w:rsidRPr="009509A5">
        <w:t>risco, o K-Means oferece um</w:t>
      </w:r>
      <w:r>
        <w:t xml:space="preserve"> método rigoroso e reprodutível para estratificar unidades geográficas em escalões de risco com base em perfis de exposição multidimensionais. Ao contrário da classificação por limiar — na qual os escalões são definidos pela aplicação de pontos de corte fixos a um único indicador, como a área inundada ou o PIB em risco —, o agrupamento opera simultaneamente em todas as dimensões de entrada, produzindo escalões que refletem a semelhança global dos perfis de risco em todo o espaço de atributos. </w:t>
      </w:r>
      <w:r w:rsidR="009509A5">
        <w:t>Esta abordagem é particularmente adequada para as regiões NUTS3 costeiras, em que o risco de inundação é conjuntamente determinado pela extensão física da inundação (píxeis inundados), pela intensidade económica da atividade exposta (PIB em risco), pela exposição relativa da região (fração da área total inundada) e pelo valor de reposição da infraestrutura exposta — dimensões positivamente correlacionadas mas não colineares, nenhuma das quais suficiente, por si só, para caracterizar o perfil de risco global.</w:t>
      </w:r>
    </w:p>
    <w:p w:rsidR="00FF3D6A" w:rsidRDefault="00FB1C4C">
      <w:pPr>
        <w:spacing w:after="160" w:line="360" w:lineRule="auto"/>
        <w:jc w:val="both"/>
      </w:pPr>
      <w:r>
        <w:t xml:space="preserve">A seleção do número ótimo de clusters k é uma decisão metodológica que equilibra a simplicidade estatística com a legibilidade dos resultados para fins de política. Dois instrumentos de diagnóstico complementares são </w:t>
      </w:r>
      <w:proofErr w:type="gramStart"/>
      <w:r>
        <w:t>padrão</w:t>
      </w:r>
      <w:proofErr w:type="gramEnd"/>
      <w:r>
        <w:t xml:space="preserve"> na literatura: o método do cotovelo, que representa graficamente a inércia intragrupo em função de </w:t>
      </w:r>
      <w:r>
        <w:rPr>
          <w:i/>
          <w:iCs/>
        </w:rPr>
        <w:t>k</w:t>
      </w:r>
      <w:r>
        <w:t xml:space="preserve"> e identifica o valor a partir do qual agrupamentos adicionais proporcionam retornos decrescentes na redução da inércia; e o coeficiente de silhueta, que mede a coesão e a separação dos agrupamentos numa escala de </w:t>
      </w:r>
      <w:r>
        <w:lastRenderedPageBreak/>
        <w:t xml:space="preserve">−1 a +1, com valores próximos de +1 a indicar agrupamentos bem separados e internamente coerentes. Em aplicações orientadas para a decisão política, o analista pode, criteriosamente, substituir o k estatisticamente ótimo por um valor que produza um número de categorias acionáveis em contextos regulatórios ou de ordenamento do território, desde que a justificação seja documentada de forma transparente e o coeficiente de silhueta resultante se mantenha num nível aceitável. As decisões específicas de agrupamento adotadas no presente estudo — incluindo a escolha de </w:t>
      </w:r>
      <w:r>
        <w:rPr>
          <w:i/>
          <w:iCs/>
        </w:rPr>
        <w:t>k</w:t>
      </w:r>
      <w:r>
        <w:t>, o conjunto de variáveis de entrada e os rótulos dos níveis de risco resultantes — são descritas no capítulo de metodologia. Esta abordagem é utilizada no presente estudo para classificar as regiões costeiras em escalões de risco relativo com base em perfis de exposição multidimensionais.</w:t>
      </w:r>
    </w:p>
    <w:p w:rsidR="00FF3D6A" w:rsidRDefault="00000000">
      <w:pPr>
        <w:pStyle w:val="Ttulo2"/>
        <w:spacing w:line="360" w:lineRule="auto"/>
      </w:pPr>
      <w:r>
        <w:t>2.9  Métodos Estatísticos para a Deteção de Tendências do Nível do Mar</w:t>
      </w:r>
    </w:p>
    <w:p w:rsidR="00FF3D6A" w:rsidRDefault="00FB1C4C">
      <w:pPr>
        <w:spacing w:after="160" w:line="360" w:lineRule="auto"/>
        <w:jc w:val="both"/>
      </w:pPr>
      <w:r>
        <w:t xml:space="preserve">A regressão linear é o instrumento estatístico fundamental para detetar tendências de longo prazo em séries temporais geofísicas, incluindo registos do nível do mar. Dado um conjunto de médias anuais do nível do mar yₜ nos anos xₜ, a regressão por Mínimos Quadrados Ordinários (MQO) estima os parâmetros do modelo linear y = α + βx + ε, em que β representa a taxa de tendência (metros por ano), α a constante e ε o resíduo. O estimador MQO é o Melhor Estimador Linear Não Enviesado (MELNE) sob os pressupostos de Gauss-Markov, e a significância estatística da tendência estimada é avaliada através da estatística </w:t>
      </w:r>
      <w:r>
        <w:rPr>
          <w:i/>
          <w:iCs/>
        </w:rPr>
        <w:t>t</w:t>
      </w:r>
      <w:r>
        <w:t xml:space="preserve"> com </w:t>
      </w:r>
      <w:r>
        <w:rPr>
          <w:i/>
          <w:iCs/>
        </w:rPr>
        <w:t>n</w:t>
      </w:r>
      <w:r>
        <w:t xml:space="preserve"> − 2 graus de liberdade, produzindo um valor </w:t>
      </w:r>
      <w:r>
        <w:rPr>
          <w:i/>
          <w:iCs/>
        </w:rPr>
        <w:t>p</w:t>
      </w:r>
      <w:r>
        <w:t xml:space="preserve"> que quantifica a probabilidade de observar uma tendência de magnitude estimada sob a hipótese nula de ausência de tendência.</w:t>
      </w:r>
    </w:p>
    <w:p w:rsidR="00FF3D6A" w:rsidRDefault="00FB1C4C">
      <w:pPr>
        <w:spacing w:after="160" w:line="360" w:lineRule="auto"/>
        <w:jc w:val="both"/>
      </w:pPr>
      <w:r>
        <w:t xml:space="preserve">As médias anuais do nível do mar são calculadas a partir de observações mensais, excluindo os registos sinalizados pelo controlo de qualidade, de forma a eliminar o ciclo sazonal introduzido pelo forçamento termostérico e atmosférico e a reduzir a influência de eventos de temporal isolados na estimativa da tendência. O intervalo de confiança a 95% sobre a taxa de tendência, derivado do erro padrão do estimador do declive MQO e do valor crítico </w:t>
      </w:r>
      <w:r>
        <w:rPr>
          <w:i/>
          <w:iCs/>
        </w:rPr>
        <w:t>t</w:t>
      </w:r>
      <w:r>
        <w:t xml:space="preserve"> para </w:t>
      </w:r>
      <w:r>
        <w:rPr>
          <w:i/>
          <w:iCs/>
        </w:rPr>
        <w:t>n</w:t>
      </w:r>
      <w:r>
        <w:t xml:space="preserve"> − 2 graus de liberdade, fornece uma medida de incerteza de estimação diretamente relevante para a validação dos cenários: se a tendência pós-1993 observada nos marégrafos portugueses se situar dentro do intervalo de taxas projetadas pelo IPCC AR6 para um dado cenário SSP, tal constitui evidência estatística de consistência entre o registo observacional e a projeção </w:t>
      </w:r>
      <w:r w:rsidR="00B4255A">
        <w:t>futura</w:t>
      </w:r>
      <w:r>
        <w:t xml:space="preserve">. Os dados de marégrafo utilizados no presente estudo provêm do Serviço Permanente para o Nível Médio do Mar (PSMSL), que mantém registos mensais com controlo de qualidade para Leixões (desde 1956) e Sines (desde 1977), fornecendo 67 e 46 anos de dados, </w:t>
      </w:r>
      <w:r>
        <w:lastRenderedPageBreak/>
        <w:t>respetivamente. Importa notar que o PSMSL sinaliza os registos de Leixões anteriores a 1965 como potencialmente suspeitos; a tendência MQO do registo completo desde 1956 deve, por conseguinte, ser tratada como uma estimativa sujeita a verificação de sensibilidade, e não como uma tendência de longo prazo definitiva. A série pós-1965 serve de base primária para a comparação de consistência com as taxas projetadas pelo IPCC AR6, e ambas as estimativas são reportadas para proporcionar um intervalo transparente.</w:t>
      </w:r>
    </w:p>
    <w:p w:rsidR="00FF3D6A" w:rsidRDefault="00000000">
      <w:pPr>
        <w:pStyle w:val="Ttulo2"/>
        <w:spacing w:line="360" w:lineRule="auto"/>
      </w:pPr>
      <w:r>
        <w:t>2.10  Síntese e Posicionamento da Investigação</w:t>
      </w:r>
    </w:p>
    <w:p w:rsidR="00FF3D6A" w:rsidRDefault="00000000">
      <w:pPr>
        <w:spacing w:after="160" w:line="360" w:lineRule="auto"/>
        <w:jc w:val="both"/>
      </w:pPr>
      <w:r>
        <w:t>A revisão precedente revela um conjunto de conhecimentos bem desenvolvido nos domínios metodológicos constituintes do presente estudo: as projeções globais de SNM e as suas expressões regionais; as abordagens de modelação de inundação costeira e as suas escalas de aplicação adequadas; os modelos de frequência de inundação composta e as suas implicações para a continuidade operacional da infraestrutura; os quadros económicos para quantificar os custos de perturbação da infraestrutura; e o ambiente costeiro português e as suas vulnerabilidades específicas.</w:t>
      </w:r>
    </w:p>
    <w:p w:rsidR="00FF3D6A" w:rsidRDefault="00000000">
      <w:pPr>
        <w:spacing w:after="160" w:line="360" w:lineRule="auto"/>
        <w:jc w:val="both"/>
      </w:pPr>
      <w:r>
        <w:t xml:space="preserve">O que está notoriamente ausente da literatura existente é uma quantificação económica abrangente e multidimensional dos impactos da SNM especificamente para o litoral continental de Portugal, que integre a avaliação estática da exposição (Pilares 1 e 2) com a modelação dinâmica da perturbação da infraestrutura (Pilar 3) e a análise do </w:t>
      </w:r>
      <w:r w:rsidR="00B4255A" w:rsidRPr="00B4255A">
        <w:rPr>
          <w:i/>
          <w:iCs/>
        </w:rPr>
        <w:t>break-even</w:t>
      </w:r>
      <w:r>
        <w:t xml:space="preserve"> da adaptação, num quadro analítico único e coerente aplicado de forma consistente em cenários e variantes de correção do geoide. Os estudos portugueses existentes têm tendido a centrar-se em sistemas estuários individuais — a Ria de Aveiro, o estuário do Tejo — ou em cartografia de exposição à inundação à escala nacional de larga abrangência, sem estender a análise à perturbação económica das redes de transporte críticas ou à avaliação comparativa do momento dos investimentos de adaptação. À escala nacional, </w:t>
      </w:r>
      <w:r w:rsidR="008313E2">
        <w:t>tanto quanto foi possível apurar na literatura consultada, não foram identificados estudos</w:t>
      </w:r>
      <w:r w:rsidR="008313E2">
        <w:t xml:space="preserve"> que </w:t>
      </w:r>
      <w:r>
        <w:t>quantifi</w:t>
      </w:r>
      <w:r w:rsidR="008313E2">
        <w:t>quem</w:t>
      </w:r>
      <w:r>
        <w:t xml:space="preserve"> o custo cumulativo da inação em toda a rede de infraestrutura de transporte costeiro em cenários IPCC AR6 com um modelo explícito de frequência de inundação composta.</w:t>
      </w:r>
    </w:p>
    <w:p w:rsidR="00FF3D6A" w:rsidRDefault="00000000">
      <w:pPr>
        <w:spacing w:after="160" w:line="360" w:lineRule="auto"/>
        <w:jc w:val="both"/>
      </w:pPr>
      <w:r>
        <w:t xml:space="preserve">O presente estudo responde a essa lacuna. Ao aplicar o quadro de risco do IPCC AR6 em três pilares analíticos integrados a </w:t>
      </w:r>
      <w:r w:rsidR="00B4255A">
        <w:t>doze</w:t>
      </w:r>
      <w:r>
        <w:t xml:space="preserve"> regiões NUTS3 costeiras, dez secções de infraestrutura crítica e três cenários de SNM que abrangem o período 2025–2100, o estudo proporciona, tanto quanto é do conhecimento do autor, uma avaliação económica integrada desta </w:t>
      </w:r>
      <w:r w:rsidR="0016223C">
        <w:t>escala</w:t>
      </w:r>
      <w:r>
        <w:t xml:space="preserve"> — </w:t>
      </w:r>
      <w:r>
        <w:lastRenderedPageBreak/>
        <w:t>que combina a exposição económica regional, o stock de ativos e a modelação dinâmica da perturbação da infraestrutura — que não foi anteriormente publicada para Portugal continental. A integração d</w:t>
      </w:r>
      <w:r w:rsidR="00B4255A">
        <w:t xml:space="preserve">e Machine Learning </w:t>
      </w:r>
      <w:r>
        <w:t>(agrupamento K-Means para classificação em escalões de risco) e da estatística inferencial (regressão MQO para validação dos cenários em relação aos registos observacionais de marégrafos) no mesmo estudo</w:t>
      </w:r>
      <w:r w:rsidR="00B4255A">
        <w:t xml:space="preserve">, </w:t>
      </w:r>
      <w:r w:rsidR="0016223C">
        <w:t>ancora</w:t>
      </w:r>
      <w:r w:rsidR="00C11B5A">
        <w:t xml:space="preserve"> adicionalmente as projeções prospetivas no registo observacional</w:t>
      </w:r>
      <w:r>
        <w:t>, reforçando a base evidencial tanto para a seleção dos cenários como para a classificação das regiões por perfil de risco.</w:t>
      </w:r>
    </w:p>
    <w:sectPr w:rsidR="00FF3D6A">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5B3C" w:rsidRDefault="00A25B3C">
      <w:r>
        <w:separator/>
      </w:r>
    </w:p>
  </w:endnote>
  <w:endnote w:type="continuationSeparator" w:id="0">
    <w:p w:rsidR="00A25B3C" w:rsidRDefault="00A25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3D6A" w:rsidRDefault="00000000">
    <w:pPr>
      <w:jc w:val="center"/>
    </w:pPr>
    <w:r>
      <w:fldChar w:fldCharType="begin"/>
    </w:r>
    <w:r>
      <w:instrText>PAGE</w:instrText>
    </w:r>
    <w:r>
      <w:fldChar w:fldCharType="separate"/>
    </w:r>
    <w:r w:rsidR="00E077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5B3C" w:rsidRDefault="00A25B3C">
      <w:r>
        <w:separator/>
      </w:r>
    </w:p>
  </w:footnote>
  <w:footnote w:type="continuationSeparator" w:id="0">
    <w:p w:rsidR="00A25B3C" w:rsidRDefault="00A25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F1100"/>
    <w:multiLevelType w:val="hybridMultilevel"/>
    <w:tmpl w:val="C586507E"/>
    <w:lvl w:ilvl="0" w:tplc="7EAACD6C">
      <w:start w:val="1"/>
      <w:numFmt w:val="bullet"/>
      <w:lvlText w:val="●"/>
      <w:lvlJc w:val="left"/>
      <w:pPr>
        <w:ind w:left="720" w:hanging="360"/>
      </w:pPr>
    </w:lvl>
    <w:lvl w:ilvl="1" w:tplc="1C900094">
      <w:start w:val="1"/>
      <w:numFmt w:val="bullet"/>
      <w:lvlText w:val="○"/>
      <w:lvlJc w:val="left"/>
      <w:pPr>
        <w:ind w:left="1440" w:hanging="360"/>
      </w:pPr>
    </w:lvl>
    <w:lvl w:ilvl="2" w:tplc="A3A6AFD6">
      <w:start w:val="1"/>
      <w:numFmt w:val="bullet"/>
      <w:lvlText w:val="■"/>
      <w:lvlJc w:val="left"/>
      <w:pPr>
        <w:ind w:left="2160" w:hanging="360"/>
      </w:pPr>
    </w:lvl>
    <w:lvl w:ilvl="3" w:tplc="30FC7FFE">
      <w:start w:val="1"/>
      <w:numFmt w:val="bullet"/>
      <w:lvlText w:val="●"/>
      <w:lvlJc w:val="left"/>
      <w:pPr>
        <w:ind w:left="2880" w:hanging="360"/>
      </w:pPr>
    </w:lvl>
    <w:lvl w:ilvl="4" w:tplc="A5A8A38A">
      <w:start w:val="1"/>
      <w:numFmt w:val="bullet"/>
      <w:lvlText w:val="○"/>
      <w:lvlJc w:val="left"/>
      <w:pPr>
        <w:ind w:left="3600" w:hanging="360"/>
      </w:pPr>
    </w:lvl>
    <w:lvl w:ilvl="5" w:tplc="7EB45424">
      <w:start w:val="1"/>
      <w:numFmt w:val="bullet"/>
      <w:lvlText w:val="■"/>
      <w:lvlJc w:val="left"/>
      <w:pPr>
        <w:ind w:left="4320" w:hanging="360"/>
      </w:pPr>
    </w:lvl>
    <w:lvl w:ilvl="6" w:tplc="746E1A18">
      <w:start w:val="1"/>
      <w:numFmt w:val="bullet"/>
      <w:lvlText w:val="●"/>
      <w:lvlJc w:val="left"/>
      <w:pPr>
        <w:ind w:left="5040" w:hanging="360"/>
      </w:pPr>
    </w:lvl>
    <w:lvl w:ilvl="7" w:tplc="7C02C3B2">
      <w:start w:val="1"/>
      <w:numFmt w:val="bullet"/>
      <w:lvlText w:val="●"/>
      <w:lvlJc w:val="left"/>
      <w:pPr>
        <w:ind w:left="5760" w:hanging="360"/>
      </w:pPr>
    </w:lvl>
    <w:lvl w:ilvl="8" w:tplc="F5D4750C">
      <w:start w:val="1"/>
      <w:numFmt w:val="bullet"/>
      <w:lvlText w:val="●"/>
      <w:lvlJc w:val="left"/>
      <w:pPr>
        <w:ind w:left="6480" w:hanging="360"/>
      </w:pPr>
    </w:lvl>
  </w:abstractNum>
  <w:num w:numId="1" w16cid:durableId="431708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3D6A"/>
    <w:rsid w:val="000731FB"/>
    <w:rsid w:val="0016223C"/>
    <w:rsid w:val="001C4C1C"/>
    <w:rsid w:val="00200A50"/>
    <w:rsid w:val="00570A0D"/>
    <w:rsid w:val="00682ECF"/>
    <w:rsid w:val="007350AD"/>
    <w:rsid w:val="0078299F"/>
    <w:rsid w:val="008313E2"/>
    <w:rsid w:val="00940C78"/>
    <w:rsid w:val="009451F7"/>
    <w:rsid w:val="009509A5"/>
    <w:rsid w:val="009C384C"/>
    <w:rsid w:val="00A25B3C"/>
    <w:rsid w:val="00AD2541"/>
    <w:rsid w:val="00AF7FB5"/>
    <w:rsid w:val="00B255FF"/>
    <w:rsid w:val="00B4255A"/>
    <w:rsid w:val="00C11B5A"/>
    <w:rsid w:val="00E07783"/>
    <w:rsid w:val="00E22067"/>
    <w:rsid w:val="00EE1F71"/>
    <w:rsid w:val="00FB0357"/>
    <w:rsid w:val="00FB1C4C"/>
    <w:rsid w:val="00FF3D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55568AF6"/>
  <w15:docId w15:val="{BE516891-4250-0041-8503-8A48EBFC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40" w:after="16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7949">
      <w:bodyDiv w:val="1"/>
      <w:marLeft w:val="0"/>
      <w:marRight w:val="0"/>
      <w:marTop w:val="0"/>
      <w:marBottom w:val="0"/>
      <w:divBdr>
        <w:top w:val="none" w:sz="0" w:space="0" w:color="auto"/>
        <w:left w:val="none" w:sz="0" w:space="0" w:color="auto"/>
        <w:bottom w:val="none" w:sz="0" w:space="0" w:color="auto"/>
        <w:right w:val="none" w:sz="0" w:space="0" w:color="auto"/>
      </w:divBdr>
      <w:divsChild>
        <w:div w:id="76167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5492</Words>
  <Characters>29661</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Celso Simões</cp:lastModifiedBy>
  <cp:revision>10</cp:revision>
  <dcterms:created xsi:type="dcterms:W3CDTF">2026-05-02T18:46:00Z</dcterms:created>
  <dcterms:modified xsi:type="dcterms:W3CDTF">2026-05-15T14:14:00Z</dcterms:modified>
</cp:coreProperties>
</file>