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eastAsia="微软雅黑"/>
          <w:b/>
          <w:color w:val="245B8A"/>
          <w:sz w:val="22"/>
        </w:rPr>
        <w:t>课程实践 · 研究报告</w:t>
      </w:r>
    </w:p>
    <w:p>
      <w:pPr>
        <w:spacing w:after="240"/>
        <w:jc w:val="center"/>
      </w:pPr>
      <w:r>
        <w:rPr>
          <w:rFonts w:ascii="Calibri" w:hAnsi="Calibri" w:eastAsia="微软雅黑"/>
          <w:b/>
          <w:color w:val="163A5F"/>
          <w:sz w:val="50"/>
        </w:rPr>
        <w:t>基于自我反思与 Critic 反馈的自动驾驶视觉语言动作模型自进化研究</w:t>
      </w:r>
    </w:p>
    <w:p>
      <w:pPr>
        <w:spacing w:after="1080"/>
        <w:jc w:val="center"/>
      </w:pPr>
      <w:r>
        <w:rPr>
          <w:rFonts w:ascii="Calibri" w:hAnsi="Calibri" w:eastAsia="Calibri"/>
          <w:b w:val="0"/>
          <w:color w:val="667085"/>
          <w:sz w:val="26"/>
        </w:rPr>
        <w:t>Driving Reflection × Multi-dimensional Critic × Self-Evolution</w:t>
      </w:r>
    </w:p>
    <w:tbl>
      <w:tblPr>
        <w:jc w:val="left"/>
        <w:tblLayout w:type="fixed"/>
        <w:tblLook w:firstColumn="1" w:firstRow="1" w:lastColumn="0" w:lastRow="0" w:noHBand="0" w:noVBand="1" w:val="04A0"/>
        <w:tblW w:w="9360" w:type="dxa"/>
        <w:tblInd w:w="120" w:type="dxa"/>
      </w:tblPr>
      <w:tblGrid>
        <w:gridCol w:w="2400"/>
        <w:gridCol w:w="6960"/>
      </w:tblGrid>
      <w:tr>
        <w:tc>
          <w:tcPr>
            <w:tcW w:type="dxa" w:w="2400"/>
            <w:vAlign w:val="center"/>
            <w:tcMar>
              <w:top w:w="80" w:type="dxa"/>
              <w:start w:w="120" w:type="dxa"/>
              <w:bottom w:w="80" w:type="dxa"/>
              <w:end w:w="120" w:type="dxa"/>
            </w:tcMar>
            <w:shd w:fill="F3F6F9"/>
          </w:tcPr>
          <w:p>
            <w:pPr>
              <w:spacing w:after="0"/>
            </w:pPr>
            <w:r/>
            <w:r>
              <w:rPr>
                <w:rFonts w:ascii="Calibri" w:hAnsi="Calibri" w:eastAsia="微软雅黑"/>
                <w:b/>
                <w:color w:val="163A5F"/>
                <w:sz w:val="21"/>
              </w:rPr>
              <w:t>课程选题</w:t>
            </w:r>
          </w:p>
        </w:tc>
        <w:tc>
          <w:tcPr>
            <w:tcW w:type="dxa" w:w="6960"/>
            <w:vAlign w:val="center"/>
            <w:tcMar>
              <w:top w:w="80" w:type="dxa"/>
              <w:start w:w="120" w:type="dxa"/>
              <w:bottom w:w="80" w:type="dxa"/>
              <w:end w:w="120" w:type="dxa"/>
            </w:tcMar>
          </w:tcPr>
          <w:p>
            <w:pPr>
              <w:spacing w:after="0"/>
            </w:pPr>
            <w:r/>
            <w:r>
              <w:rPr>
                <w:rFonts w:ascii="Calibri" w:hAnsi="Calibri" w:eastAsia="宋体"/>
                <w:b w:val="0"/>
                <w:sz w:val="21"/>
              </w:rPr>
              <w:t>大区治理选题第 4 题</w:t>
            </w:r>
          </w:p>
        </w:tc>
      </w:tr>
      <w:tr>
        <w:tc>
          <w:tcPr>
            <w:tcW w:type="dxa" w:w="2400"/>
            <w:vAlign w:val="center"/>
            <w:tcMar>
              <w:top w:w="80" w:type="dxa"/>
              <w:start w:w="120" w:type="dxa"/>
              <w:bottom w:w="80" w:type="dxa"/>
              <w:end w:w="120" w:type="dxa"/>
            </w:tcMar>
            <w:shd w:fill="F3F6F9"/>
          </w:tcPr>
          <w:p>
            <w:pPr>
              <w:spacing w:after="0"/>
            </w:pPr>
            <w:r/>
            <w:r>
              <w:rPr>
                <w:rFonts w:ascii="Calibri" w:hAnsi="Calibri" w:eastAsia="微软雅黑"/>
                <w:b/>
                <w:color w:val="163A5F"/>
                <w:sz w:val="21"/>
              </w:rPr>
              <w:t>冻结基座</w:t>
            </w:r>
          </w:p>
        </w:tc>
        <w:tc>
          <w:tcPr>
            <w:tcW w:type="dxa" w:w="6960"/>
            <w:vAlign w:val="center"/>
            <w:tcMar>
              <w:top w:w="80" w:type="dxa"/>
              <w:start w:w="120" w:type="dxa"/>
              <w:bottom w:w="80" w:type="dxa"/>
              <w:end w:w="120" w:type="dxa"/>
            </w:tcMar>
          </w:tcPr>
          <w:p>
            <w:pPr>
              <w:spacing w:after="0"/>
            </w:pPr>
            <w:r/>
            <w:r>
              <w:rPr>
                <w:rFonts w:ascii="Calibri" w:hAnsi="Calibri" w:eastAsia="宋体"/>
                <w:b w:val="0"/>
                <w:sz w:val="21"/>
              </w:rPr>
              <w:t>OpenDriveVLA-0.5B（本地已核验）</w:t>
            </w:r>
          </w:p>
        </w:tc>
      </w:tr>
      <w:tr>
        <w:tc>
          <w:tcPr>
            <w:tcW w:type="dxa" w:w="2400"/>
            <w:vAlign w:val="center"/>
            <w:tcMar>
              <w:top w:w="80" w:type="dxa"/>
              <w:start w:w="120" w:type="dxa"/>
              <w:bottom w:w="80" w:type="dxa"/>
              <w:end w:w="120" w:type="dxa"/>
            </w:tcMar>
            <w:shd w:fill="F3F6F9"/>
          </w:tcPr>
          <w:p>
            <w:pPr>
              <w:spacing w:after="0"/>
            </w:pPr>
            <w:r/>
            <w:r>
              <w:rPr>
                <w:rFonts w:ascii="Calibri" w:hAnsi="Calibri" w:eastAsia="微软雅黑"/>
                <w:b/>
                <w:color w:val="163A5F"/>
                <w:sz w:val="21"/>
              </w:rPr>
              <w:t>实验版本</w:t>
            </w:r>
          </w:p>
        </w:tc>
        <w:tc>
          <w:tcPr>
            <w:tcW w:type="dxa" w:w="6960"/>
            <w:vAlign w:val="center"/>
            <w:tcMar>
              <w:top w:w="80" w:type="dxa"/>
              <w:start w:w="120" w:type="dxa"/>
              <w:bottom w:w="80" w:type="dxa"/>
              <w:end w:w="120" w:type="dxa"/>
            </w:tcMar>
          </w:tcPr>
          <w:p>
            <w:pPr>
              <w:spacing w:after="0"/>
            </w:pPr>
            <w:r/>
            <w:r>
              <w:rPr>
                <w:rFonts w:ascii="Calibri" w:hAnsi="Calibri" w:eastAsia="宋体"/>
                <w:b w:val="0"/>
                <w:sz w:val="21"/>
              </w:rPr>
              <w:t>轻量自进化 Demo v0.3</w:t>
            </w:r>
          </w:p>
        </w:tc>
      </w:tr>
      <w:tr>
        <w:tc>
          <w:tcPr>
            <w:tcW w:type="dxa" w:w="2400"/>
            <w:vAlign w:val="center"/>
            <w:tcMar>
              <w:top w:w="80" w:type="dxa"/>
              <w:start w:w="120" w:type="dxa"/>
              <w:bottom w:w="80" w:type="dxa"/>
              <w:end w:w="120" w:type="dxa"/>
            </w:tcMar>
            <w:shd w:fill="F3F6F9"/>
          </w:tcPr>
          <w:p>
            <w:pPr>
              <w:spacing w:after="0"/>
            </w:pPr>
            <w:r/>
            <w:r>
              <w:rPr>
                <w:rFonts w:ascii="Calibri" w:hAnsi="Calibri" w:eastAsia="微软雅黑"/>
                <w:b/>
                <w:color w:val="163A5F"/>
                <w:sz w:val="21"/>
              </w:rPr>
              <w:t>完成日期</w:t>
            </w:r>
          </w:p>
        </w:tc>
        <w:tc>
          <w:tcPr>
            <w:tcW w:type="dxa" w:w="6960"/>
            <w:vAlign w:val="center"/>
            <w:tcMar>
              <w:top w:w="80" w:type="dxa"/>
              <w:start w:w="120" w:type="dxa"/>
              <w:bottom w:w="80" w:type="dxa"/>
              <w:end w:w="120" w:type="dxa"/>
            </w:tcMar>
          </w:tcPr>
          <w:p>
            <w:pPr>
              <w:spacing w:after="0"/>
            </w:pPr>
            <w:r/>
            <w:r>
              <w:rPr>
                <w:rFonts w:ascii="Calibri" w:hAnsi="Calibri" w:eastAsia="宋体"/>
                <w:b w:val="0"/>
                <w:sz w:val="21"/>
              </w:rPr>
              <w:t>2026 年 8 月</w:t>
            </w:r>
          </w:p>
        </w:tc>
      </w:tr>
    </w:tbl>
    <w:p>
      <w:r>
        <w:br w:type="page"/>
      </w:r>
    </w:p>
    <w:p>
      <w:pPr>
        <w:pStyle w:val="Heading1"/>
      </w:pPr>
      <w:r>
        <w:t>目录</w:t>
      </w:r>
    </w:p>
    <w:p>
      <w:r>
        <w:fldChar w:fldCharType="begin"/>
        <w:instrText xml:space="preserve">TOC \o "1-3" \h \z \u</w:instrText>
        <w:fldChar w:fldCharType="separate"/>
        <w:t>右键更新目录</w:t>
        <w:fldChar w:fldCharType="end"/>
      </w:r>
    </w:p>
    <w:p>
      <w:pPr>
        <w:pStyle w:val="Heading1"/>
      </w:pPr>
      <w:r>
        <w:rPr>
          <w:rFonts w:ascii="Calibri" w:hAnsi="Calibri" w:eastAsia="宋体"/>
          <w:b/>
          <w:color w:val="245B8A"/>
          <w:sz w:val="32"/>
        </w:rPr>
        <w:t>摘要</w:t>
      </w:r>
    </w:p>
    <w:p>
      <w:pPr>
        <w:jc w:val="both"/>
      </w:pPr>
      <w:r>
        <w:rPr>
          <w:rFonts w:ascii="Calibri" w:hAnsi="Calibri" w:eastAsia="宋体"/>
          <w:b w:val="0"/>
          <w:sz w:val="21"/>
        </w:rPr>
        <w:t>现有端到端自动驾驶视觉语言动作模型通常依赖固定数据进行一次性训练，部署后的失败轨迹难以自动转化为新知识。本文提出并实现一个面向课程验证的 Driving Reflection 自进化框架，以本地完整下载并核验的 OpenDriveVLA-0.5B checkpoint 作为冻结基座资产和标准轨迹接口，以“场景输入—轨迹规划—Critic 评价—结构化反思—经验记忆—再训练”为闭环。系统将 Critic 分解为 Safety、Rule、Comfort 三个维度，提供规则评价器、可连接 OpenAI-compatible 服务的 LLM Critic，以及由评价数据拟合的 Reward Model Critic；通过质量过滤构造 5,000 条统一 JSONL 反思样本，并实现 Baseline、SFT、失败样本加权 Reflection SFT、三轮失败回放自进化与轻量 DPO。项目同时提供面向 OpenDriveVLA 的 LoRA SFT、Reflection SFT 和 DPO 数据导出、配置及训练入口，使 Windows 无训练 Demo 与 Linux/CUDA 完整训练保持同一数据语义。</w:t>
      </w:r>
    </w:p>
    <w:p>
      <w:pPr>
        <w:jc w:val="both"/>
      </w:pPr>
      <w:r>
        <w:rPr>
          <w:rFonts w:ascii="Calibri" w:hAnsi="Calibri" w:eastAsia="宋体"/>
          <w:b w:val="0"/>
          <w:sz w:val="21"/>
        </w:rPr>
        <w:t>在固定随机种子生成的 1,000 条未见合成场景上，Baseline 的碰撞风险代理率、交通违章代理率、行人礼让失败率分别为 8.9%、45.4% 和 5.9%；Reflection SFT 将三项指标降至 3.3%、7.2% 和 1.4%，整体 Critic 得分由 91.176 提升至 97.920；Reflection DPO 进一步达到 3.0%、5.1% 和 0.3%。这些结果验证了“失败定位—纠正知识—再学习”闭环在研究原型上的有效性。本文同时明确：上述结果属于 CPU 可复现的开放环合成代理实验，不等同于 nuScenes 或 CARLA 的真实闭环性能。</w:t>
      </w:r>
    </w:p>
    <w:p>
      <w:pPr>
        <w:jc w:val="both"/>
      </w:pPr>
      <w:r>
        <w:rPr>
          <w:rFonts w:ascii="Calibri" w:hAnsi="Calibri" w:eastAsia="宋体"/>
          <w:b w:val="0"/>
          <w:sz w:val="21"/>
        </w:rPr>
        <w:t>关键词：自动驾驶；视觉语言动作模型；自我反思；Critic；监督微调；直接偏好优化；自进化</w:t>
      </w:r>
    </w:p>
    <w:p>
      <w:pPr>
        <w:pStyle w:val="Heading1"/>
      </w:pPr>
      <w:r>
        <w:rPr>
          <w:rFonts w:ascii="Calibri" w:hAnsi="Calibri" w:eastAsia="宋体"/>
          <w:b/>
          <w:color w:val="245B8A"/>
          <w:sz w:val="32"/>
        </w:rPr>
        <w:t>1. 课题要求核对与研究问题</w:t>
      </w:r>
    </w:p>
    <w:p>
      <w:pPr>
        <w:pStyle w:val="Heading2"/>
      </w:pPr>
      <w:r>
        <w:rPr>
          <w:rFonts w:ascii="Calibri" w:hAnsi="Calibri" w:eastAsia="宋体"/>
          <w:b/>
          <w:color w:val="245B8A"/>
          <w:sz w:val="26"/>
        </w:rPr>
        <w:t>1.1 原始课题要求</w:t>
      </w:r>
    </w:p>
    <w:p>
      <w:pPr>
        <w:jc w:val="both"/>
      </w:pPr>
      <w:r>
        <w:rPr>
          <w:rFonts w:ascii="Calibri" w:hAnsi="Calibri" w:eastAsia="宋体"/>
          <w:b w:val="0"/>
          <w:sz w:val="21"/>
        </w:rPr>
        <w:t>课程文档要求完成四个核心模块：第一，构建 Trajectory→Critic→Reflection 自动生成流水线，形成约 5K～10K 条可过滤、可评价的数据；第二，实现 Safety Score、Rule Score、Comfort Score，并比较 Rule-based、LLM Critic、Reward Model；第三，以 OpenDriveVLA 为基座方向，对比 Baseline、SFT、Reflection SFT，并选做 Reflection+DPO/GRPO；第四，在复杂和未见场景中报告碰撞、违章、舒适性、失败定位、Critic 一致性与泛化分析。交付物还必须包括数据、训练、评估全套脚本，配置规范和可现场演示的完整流程。</w:t>
      </w:r>
    </w:p>
    <w:p>
      <w:pPr>
        <w:pStyle w:val="Heading2"/>
      </w:pPr>
      <w:r>
        <w:rPr>
          <w:rFonts w:ascii="Calibri" w:hAnsi="Calibri" w:eastAsia="宋体"/>
          <w:b/>
          <w:color w:val="245B8A"/>
          <w:sz w:val="26"/>
        </w:rPr>
        <w:t>1.2 研究问题</w:t>
      </w:r>
    </w:p>
    <w:p>
      <w:pPr>
        <w:jc w:val="both"/>
      </w:pPr>
      <w:r>
        <w:rPr>
          <w:rFonts w:ascii="Calibri" w:hAnsi="Calibri" w:eastAsia="宋体"/>
          <w:b w:val="0"/>
          <w:sz w:val="21"/>
        </w:rPr>
        <w:t>本文围绕四个问题展开：</w:t>
      </w:r>
    </w:p>
    <w:p>
      <w:pPr>
        <w:pStyle w:val="ListNumber"/>
      </w:pPr>
      <w:r>
        <w:rPr>
          <w:rFonts w:ascii="Calibri" w:hAnsi="Calibri" w:eastAsia="宋体"/>
          <w:b w:val="0"/>
          <w:sz w:val="21"/>
        </w:rPr>
        <w:t>多维 Critic 能否稳定发现跟车、红灯、超速、行人礼让和舒适性问题？</w:t>
      </w:r>
    </w:p>
    <w:p>
      <w:pPr>
        <w:pStyle w:val="ListNumber"/>
      </w:pPr>
      <w:r>
        <w:rPr>
          <w:rFonts w:ascii="Calibri" w:hAnsi="Calibri" w:eastAsia="宋体"/>
          <w:b w:val="0"/>
          <w:sz w:val="21"/>
        </w:rPr>
        <w:t>结构化反思能否把评价证据转换为可训练的纠正策略，而非泛泛文本解释？</w:t>
      </w:r>
    </w:p>
    <w:p>
      <w:pPr>
        <w:pStyle w:val="ListNumber"/>
      </w:pPr>
      <w:r>
        <w:rPr>
          <w:rFonts w:ascii="Calibri" w:hAnsi="Calibri" w:eastAsia="宋体"/>
          <w:b w:val="0"/>
          <w:sz w:val="21"/>
        </w:rPr>
        <w:t>Reflection SFT 与偏好优化能否相对普通 SFT 进一步降低安全和规则风险？</w:t>
      </w:r>
    </w:p>
    <w:p>
      <w:pPr>
        <w:pStyle w:val="ListNumber"/>
      </w:pPr>
      <w:r>
        <w:rPr>
          <w:rFonts w:ascii="Calibri" w:hAnsi="Calibri" w:eastAsia="宋体"/>
          <w:b w:val="0"/>
          <w:sz w:val="21"/>
        </w:rPr>
        <w:t>轻量原型如何保留与 OpenDriveVLA、nuScenes、CARLA 的数据和训练接口，使现场演示与后续大模型实验兼容？</w:t>
      </w:r>
    </w:p>
    <w:p>
      <w:pPr>
        <w:pStyle w:val="Heading1"/>
      </w:pPr>
      <w:r>
        <w:rPr>
          <w:rFonts w:ascii="Calibri" w:hAnsi="Calibri" w:eastAsia="宋体"/>
          <w:b/>
          <w:color w:val="245B8A"/>
          <w:sz w:val="32"/>
        </w:rPr>
        <w:t>2. 指定文献与代码研读</w:t>
      </w:r>
    </w:p>
    <w:p>
      <w:pPr>
        <w:pStyle w:val="Heading2"/>
      </w:pPr>
      <w:r>
        <w:rPr>
          <w:rFonts w:ascii="Calibri" w:hAnsi="Calibri" w:eastAsia="宋体"/>
          <w:b/>
          <w:color w:val="245B8A"/>
          <w:sz w:val="26"/>
        </w:rPr>
        <w:t>2.1 六篇指定论文</w:t>
      </w:r>
    </w:p>
    <w:p>
      <w:pPr>
        <w:jc w:val="both"/>
      </w:pPr>
      <w:r>
        <w:rPr>
          <w:rFonts w:ascii="Calibri" w:hAnsi="Calibri" w:eastAsia="宋体"/>
          <w:b w:val="0"/>
          <w:sz w:val="21"/>
        </w:rPr>
        <w:t>OpenDriveVLA 将多视角图像产生的场景、Agent 和地图结构化 token，通过分层视觉—语言对齐接入 Qwen2.5，并采用四阶段训练：特征对齐、驾驶指令微调、Agent–Environment–Ego 交互学习、轨迹规划微调。轨迹被离散为自回归 waypoint token。该工作为本项目提供基座输入/输出范式，但其主要结果为 nuScenes 开放环评估，本身不具备部署后持续进化闭环。</w:t>
      </w:r>
    </w:p>
    <w:p>
      <w:pPr>
        <w:jc w:val="both"/>
      </w:pPr>
      <w:r>
        <w:rPr>
          <w:rFonts w:ascii="Calibri" w:hAnsi="Calibri" w:eastAsia="宋体"/>
          <w:b w:val="0"/>
          <w:sz w:val="21"/>
        </w:rPr>
        <w:t>UniAD 的关键思想是“以规划为中心”统一检测、跟踪、地图、运动预测、占用和规划，通过 query 接口让上游任务服务最终规划目标。本项目继承这一目标导向原则：Critic 不评价语言是否华丽，而评价轨迹对安全、规则和舒适性的贡献。</w:t>
      </w:r>
    </w:p>
    <w:p>
      <w:pPr>
        <w:jc w:val="both"/>
      </w:pPr>
      <w:r>
        <w:rPr>
          <w:rFonts w:ascii="Calibri" w:hAnsi="Calibri" w:eastAsia="宋体"/>
          <w:b w:val="0"/>
          <w:sz w:val="21"/>
        </w:rPr>
        <w:t>DriveAgent-R1 引入主动感知和混合思考：简单场景采用文本推理，复杂场景调用视觉工具；训练由双模式 SFT、强制对比模式 RL、自动模式选择 GRPO 构成。其奖励同时包含动作准确度、格式一致性与工具调用成本。由此，本项目把 Critic 输出设计为严格结构化 JSON，并把可选在线 LLM 评价与默认离线评价解耦，保证可复现性和扩展性。</w:t>
      </w:r>
    </w:p>
    <w:p>
      <w:pPr>
        <w:jc w:val="both"/>
      </w:pPr>
      <w:r>
        <w:rPr>
          <w:rFonts w:ascii="Calibri" w:hAnsi="Calibri" w:eastAsia="宋体"/>
          <w:b w:val="0"/>
          <w:sz w:val="21"/>
        </w:rPr>
        <w:t>Alpamayo-R1 使用 Chain of Causation 数据，把“驾驶决策—可观测因果因素—因果推理链”绑定到轨迹，采用 VLM 与流匹配轨迹解码器，并通过 SFT 与 RL 对齐推理和动作。其最重要启示是避免与动作无关的冗长思维链。本项目的 Reflection 模板因此限定为 verdict、root_causes、evidence、corrective_strategy、counterfactual_action 和 confidence 六类字段。</w:t>
      </w:r>
    </w:p>
    <w:p>
      <w:pPr>
        <w:jc w:val="both"/>
      </w:pPr>
      <w:r>
        <w:rPr>
          <w:rFonts w:ascii="Calibri" w:hAnsi="Calibri" w:eastAsia="宋体"/>
          <w:b w:val="0"/>
          <w:sz w:val="21"/>
        </w:rPr>
        <w:t>Agent-Driver 将 LLM 作为认知 Agent，引入工具库、常识/经验记忆、推理引擎与自我反思。官方实现依赖预缓存 nuScenes 数据和外部 API。本文借鉴其工具化与经验闭环，但将核心 Critic 和 demo 设计为无 API、无 GPU 也能运行，同时保留在线服务适配接口。</w:t>
      </w:r>
    </w:p>
    <w:p>
      <w:pPr>
        <w:jc w:val="both"/>
      </w:pPr>
      <w:r>
        <w:rPr>
          <w:rFonts w:ascii="Calibri" w:hAnsi="Calibri" w:eastAsia="宋体"/>
          <w:b w:val="0"/>
          <w:sz w:val="21"/>
        </w:rPr>
        <w:t>DeepSeek-R1 表明纯强化学习可诱发自验证、反思和长程推理，并采用冷启动数据与多阶段训练稳定语言质量。其方法无法直接照搬到连续驾驶控制：驾驶奖励必须同时约束安全、规则和舒适性，并防止奖励投机。因此本项目先用可验证规则产生锚点，再训练 Reward Model，并以安全权重最高的组合得分驱动过滤和偏好优化。</w:t>
      </w:r>
    </w:p>
    <w:p>
      <w:pPr>
        <w:pStyle w:val="Heading2"/>
      </w:pPr>
      <w:r>
        <w:rPr>
          <w:rFonts w:ascii="Calibri" w:hAnsi="Calibri" w:eastAsia="宋体"/>
          <w:b/>
          <w:color w:val="245B8A"/>
          <w:sz w:val="26"/>
        </w:rPr>
        <w:t>2.2 五个指定代码仓库</w:t>
      </w:r>
    </w:p>
    <w:tbl>
      <w:tblPr>
        <w:jc w:val="left"/>
        <w:tblLayout w:type="fixed"/>
        <w:tblLook w:firstColumn="1" w:firstRow="1" w:lastColumn="0" w:lastRow="0" w:noHBand="0" w:noVBand="1" w:val="04A0"/>
        <w:tblW w:w="9360" w:type="dxa"/>
        <w:tblInd w:w="120" w:type="dxa"/>
      </w:tblPr>
      <w:tblGrid>
        <w:gridCol w:w="2100"/>
        <w:gridCol w:w="3150"/>
        <w:gridCol w:w="2550"/>
        <w:gridCol w:w="1560"/>
      </w:tblGrid>
      <w:tr>
        <w:trPr>
          <w:cantSplit/>
          <w:tblHeader w:val="true"/>
        </w:trPr>
        <w:tc>
          <w:tcPr>
            <w:tcW w:type="dxa" w:w="210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8"/>
              </w:rPr>
              <w:t>仓库</w:t>
            </w:r>
          </w:p>
        </w:tc>
        <w:tc>
          <w:tcPr>
            <w:tcW w:type="dxa" w:w="315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8"/>
              </w:rPr>
              <w:t>关键可复用内容</w:t>
            </w:r>
          </w:p>
        </w:tc>
        <w:tc>
          <w:tcPr>
            <w:tcW w:type="dxa" w:w="255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8"/>
              </w:rPr>
              <w:t>对本项目的影响</w:t>
            </w:r>
          </w:p>
        </w:tc>
        <w:tc>
          <w:tcPr>
            <w:tcW w:type="dxa" w:w="156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8"/>
              </w:rPr>
              <w:t>复现限制</w:t>
            </w:r>
          </w:p>
        </w:tc>
      </w:tr>
      <w:tr>
        <w:trPr>
          <w:cantSplit/>
        </w:trPr>
        <w:tc>
          <w:tcPr>
            <w:tcW w:type="dxa" w:w="210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DriveLM</w:t>
            </w:r>
          </w:p>
        </w:tc>
        <w:tc>
          <w:tcPr>
            <w:tcW w:type="dxa" w:w="31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nuScenes/CARLA 上的 Graph VQA、感知—预测—规划逻辑依赖、评估流程</w:t>
            </w:r>
          </w:p>
        </w:tc>
        <w:tc>
          <w:tcPr>
            <w:tcW w:type="dxa" w:w="25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Reflection 保留证据链与任务因果关系</w:t>
            </w:r>
          </w:p>
        </w:tc>
        <w:tc>
          <w:tcPr>
            <w:tcW w:type="dxa" w:w="1560"/>
            <w:vAlign w:val="center"/>
            <w:tcMar>
              <w:top w:w="80" w:type="dxa"/>
              <w:start w:w="120" w:type="dxa"/>
              <w:bottom w:w="80" w:type="dxa"/>
              <w:end w:w="120" w:type="dxa"/>
            </w:tcMar>
          </w:tcPr>
          <w:p>
            <w:pPr>
              <w:spacing w:after="40" w:line="252" w:lineRule="auto"/>
              <w:jc w:val="center"/>
            </w:pPr>
            <w:r/>
            <w:r>
              <w:rPr>
                <w:rFonts w:ascii="Calibri" w:hAnsi="Calibri" w:eastAsia="宋体"/>
                <w:b w:val="0"/>
                <w:sz w:val="18"/>
              </w:rPr>
              <w:t>语言数据含非商业许可，完整数据需单独获取</w:t>
            </w:r>
          </w:p>
        </w:tc>
      </w:tr>
      <w:tr>
        <w:trPr>
          <w:cantSplit/>
        </w:trPr>
        <w:tc>
          <w:tcPr>
            <w:tcW w:type="dxa" w:w="210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Alpamayo 1.5</w:t>
            </w:r>
          </w:p>
        </w:tc>
        <w:tc>
          <w:tcPr>
            <w:tcW w:type="dxa" w:w="31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推理、导航、多相机、VQA 示例；SFT/RL recipes</w:t>
            </w:r>
          </w:p>
        </w:tc>
        <w:tc>
          <w:tcPr>
            <w:tcW w:type="dxa" w:w="25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报告采用“推理与动作一致性”分析维度</w:t>
            </w:r>
          </w:p>
        </w:tc>
        <w:tc>
          <w:tcPr>
            <w:tcW w:type="dxa" w:w="1560"/>
            <w:vAlign w:val="center"/>
            <w:tcMar>
              <w:top w:w="80" w:type="dxa"/>
              <w:start w:w="120" w:type="dxa"/>
              <w:bottom w:w="80" w:type="dxa"/>
              <w:end w:w="120" w:type="dxa"/>
            </w:tcMar>
          </w:tcPr>
          <w:p>
            <w:pPr>
              <w:spacing w:after="40" w:line="252" w:lineRule="auto"/>
              <w:jc w:val="center"/>
            </w:pPr>
            <w:r/>
            <w:r>
              <w:rPr>
                <w:rFonts w:ascii="Calibri" w:hAnsi="Calibri" w:eastAsia="宋体"/>
                <w:b w:val="0"/>
                <w:sz w:val="18"/>
              </w:rPr>
              <w:t>权重约 22GB，单样本约 24GB 显存且资源受控</w:t>
            </w:r>
          </w:p>
        </w:tc>
      </w:tr>
      <w:tr>
        <w:trPr>
          <w:cantSplit/>
        </w:trPr>
        <w:tc>
          <w:tcPr>
            <w:tcW w:type="dxa" w:w="210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Agent-Driver</w:t>
            </w:r>
          </w:p>
        </w:tc>
        <w:tc>
          <w:tcPr>
            <w:tcW w:type="dxa" w:w="31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agentdriver/、data/、experiments/、scripts/ 分层；工具、记忆、自反思</w:t>
            </w:r>
          </w:p>
        </w:tc>
        <w:tc>
          <w:tcPr>
            <w:tcW w:type="dxa" w:w="25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工程结构按数据/模型/评估/demo 解耦</w:t>
            </w:r>
          </w:p>
        </w:tc>
        <w:tc>
          <w:tcPr>
            <w:tcW w:type="dxa" w:w="1560"/>
            <w:vAlign w:val="center"/>
            <w:tcMar>
              <w:top w:w="80" w:type="dxa"/>
              <w:start w:w="120" w:type="dxa"/>
              <w:bottom w:w="80" w:type="dxa"/>
              <w:end w:w="120" w:type="dxa"/>
            </w:tcMar>
          </w:tcPr>
          <w:p>
            <w:pPr>
              <w:spacing w:after="40" w:line="252" w:lineRule="auto"/>
              <w:jc w:val="center"/>
            </w:pPr>
            <w:r/>
            <w:r>
              <w:rPr>
                <w:rFonts w:ascii="Calibri" w:hAnsi="Calibri" w:eastAsia="宋体"/>
                <w:b w:val="0"/>
                <w:sz w:val="18"/>
              </w:rPr>
              <w:t>需要外部 API 与预缓存 nuScenes 数据</w:t>
            </w:r>
          </w:p>
        </w:tc>
      </w:tr>
      <w:tr>
        <w:trPr>
          <w:cantSplit/>
        </w:trPr>
        <w:tc>
          <w:tcPr>
            <w:tcW w:type="dxa" w:w="210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DriveAgent-R1</w:t>
            </w:r>
          </w:p>
        </w:tc>
        <w:tc>
          <w:tcPr>
            <w:tcW w:type="dxa" w:w="31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tool-rl/ 训练代码、SFT 与 Cascaded RL、多轮工具调用</w:t>
            </w:r>
          </w:p>
        </w:tc>
        <w:tc>
          <w:tcPr>
            <w:tcW w:type="dxa" w:w="25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LLM Critic 使用严格格式并预留在线接口</w:t>
            </w:r>
          </w:p>
        </w:tc>
        <w:tc>
          <w:tcPr>
            <w:tcW w:type="dxa" w:w="1560"/>
            <w:vAlign w:val="center"/>
            <w:tcMar>
              <w:top w:w="80" w:type="dxa"/>
              <w:start w:w="120" w:type="dxa"/>
              <w:bottom w:w="80" w:type="dxa"/>
              <w:end w:w="120" w:type="dxa"/>
            </w:tcMar>
          </w:tcPr>
          <w:p>
            <w:pPr>
              <w:spacing w:after="40" w:line="252" w:lineRule="auto"/>
              <w:jc w:val="center"/>
            </w:pPr>
            <w:r/>
            <w:r>
              <w:rPr>
                <w:rFonts w:ascii="Calibri" w:hAnsi="Calibri" w:eastAsia="宋体"/>
                <w:b w:val="0"/>
                <w:sz w:val="18"/>
              </w:rPr>
              <w:t>官方评估脚本、数据和权重尚非全部公开；要求 Ubuntu/CUDA</w:t>
            </w:r>
          </w:p>
        </w:tc>
      </w:tr>
      <w:tr>
        <w:trPr>
          <w:cantSplit/>
        </w:trPr>
        <w:tc>
          <w:tcPr>
            <w:tcW w:type="dxa" w:w="210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OpenDriveVLA</w:t>
            </w:r>
          </w:p>
        </w:tc>
        <w:tc>
          <w:tcPr>
            <w:tcW w:type="dxa" w:w="31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drivevla/、llava/、projects/、scripts/；0.5B 推理与数据准备</w:t>
            </w:r>
          </w:p>
        </w:tc>
        <w:tc>
          <w:tcPr>
            <w:tcW w:type="dxa" w:w="2550"/>
            <w:vAlign w:val="center"/>
            <w:tcMar>
              <w:top w:w="80" w:type="dxa"/>
              <w:start w:w="120" w:type="dxa"/>
              <w:bottom w:w="80" w:type="dxa"/>
              <w:end w:w="120" w:type="dxa"/>
            </w:tcMar>
          </w:tcPr>
          <w:p>
            <w:pPr>
              <w:spacing w:after="40" w:line="252" w:lineRule="auto"/>
              <w:jc w:val="left"/>
            </w:pPr>
            <w:r/>
            <w:r>
              <w:rPr>
                <w:rFonts w:ascii="Calibri" w:hAnsi="Calibri" w:eastAsia="宋体"/>
                <w:b w:val="0"/>
                <w:sz w:val="18"/>
              </w:rPr>
              <w:t>Policy.plan() 作为可替换基座边界</w:t>
            </w:r>
          </w:p>
        </w:tc>
        <w:tc>
          <w:tcPr>
            <w:tcW w:type="dxa" w:w="1560"/>
            <w:vAlign w:val="center"/>
            <w:tcMar>
              <w:top w:w="80" w:type="dxa"/>
              <w:start w:w="120" w:type="dxa"/>
              <w:bottom w:w="80" w:type="dxa"/>
              <w:end w:w="120" w:type="dxa"/>
            </w:tcMar>
          </w:tcPr>
          <w:p>
            <w:pPr>
              <w:spacing w:after="40" w:line="252" w:lineRule="auto"/>
              <w:jc w:val="center"/>
            </w:pPr>
            <w:r/>
            <w:r>
              <w:rPr>
                <w:rFonts w:ascii="Calibri" w:hAnsi="Calibri" w:eastAsia="宋体"/>
                <w:b w:val="0"/>
                <w:sz w:val="18"/>
              </w:rPr>
              <w:t>深度依赖 mmcv/mmdet3d、PyTorch、GPU 和 nuScenes</w:t>
            </w:r>
          </w:p>
        </w:tc>
      </w:tr>
    </w:tbl>
    <w:p>
      <w:pPr>
        <w:spacing w:after="20"/>
      </w:pPr>
    </w:p>
    <w:p>
      <w:pPr>
        <w:jc w:val="both"/>
      </w:pPr>
      <w:r>
        <w:rPr>
          <w:rFonts w:ascii="Calibri" w:hAnsi="Calibri" w:eastAsia="宋体"/>
          <w:b w:val="0"/>
          <w:sz w:val="21"/>
        </w:rPr>
        <w:t xml:space="preserve">链接核对发现：课程 Word 中 OpenDriveVLA 显示为 arXiv:2503.23463，但内部跳转关系一度指向 2409.12191；前者标题和官方仓库均与 OpenDriveVLA 一致，故本文采用 2503.23463。DriveAgent-R1 的原 GitHub 地址已重定向至 </w:t>
      </w:r>
      <w:r>
        <w:rPr>
          <w:rFonts w:ascii="Calibri" w:hAnsi="Calibri" w:eastAsia="等线"/>
          <w:b/>
          <w:sz w:val="19"/>
        </w:rPr>
        <w:t>wczheng/DriveAgent-R1</w:t>
      </w:r>
      <w:r>
        <w:rPr>
          <w:rFonts w:ascii="Calibri" w:hAnsi="Calibri" w:eastAsia="宋体"/>
          <w:b w:val="0"/>
          <w:sz w:val="21"/>
        </w:rPr>
        <w:t>。</w:t>
      </w:r>
    </w:p>
    <w:p>
      <w:pPr>
        <w:pStyle w:val="Heading1"/>
      </w:pPr>
      <w:r>
        <w:rPr>
          <w:rFonts w:ascii="Calibri" w:hAnsi="Calibri" w:eastAsia="宋体"/>
          <w:b/>
          <w:color w:val="245B8A"/>
          <w:sz w:val="32"/>
        </w:rPr>
        <w:t>3. 方法</w:t>
      </w:r>
    </w:p>
    <w:p>
      <w:pPr>
        <w:pStyle w:val="Heading2"/>
      </w:pPr>
      <w:r>
        <w:rPr>
          <w:rFonts w:ascii="Calibri" w:hAnsi="Calibri" w:eastAsia="宋体"/>
          <w:b/>
          <w:color w:val="245B8A"/>
          <w:sz w:val="26"/>
        </w:rPr>
        <w:t>3.1 总体闭环</w:t>
      </w:r>
    </w:p>
    <w:p>
      <w:pPr>
        <w:jc w:val="both"/>
      </w:pPr>
      <w:r>
        <w:rPr>
          <w:rFonts w:ascii="Calibri" w:hAnsi="Calibri" w:eastAsia="宋体"/>
          <w:b w:val="0"/>
          <w:sz w:val="21"/>
        </w:rPr>
        <w:t>系统工作流为：场景生成或数据集适配器输出统一 Scenario；Planner 生成未来 12 个 waypoint；三维 Critic 评价轨迹并定位失败；Reflection Builder 把失败与证据映射为纠正动作；Quality Filter 过滤低置信或无证据样本；训练器执行 SFT、Reflection SFT 或 DPO；评估器在独立未见场景上重新测量风险。所有中间产物使用 JSON/JSONL，因此可把轻量 Planner 替换为 OpenDriveVLA，而无需改写 Critic、数据过滤和分析模块。</w:t>
      </w:r>
    </w:p>
    <w:p>
      <w:pPr>
        <w:pStyle w:val="Heading2"/>
      </w:pPr>
      <w:r>
        <w:rPr>
          <w:rFonts w:ascii="Calibri" w:hAnsi="Calibri" w:eastAsia="宋体"/>
          <w:b/>
          <w:color w:val="245B8A"/>
          <w:sz w:val="26"/>
        </w:rPr>
        <w:t>3.2 场景与轨迹表示</w:t>
      </w:r>
    </w:p>
    <w:p>
      <w:pPr>
        <w:jc w:val="both"/>
      </w:pPr>
      <w:r>
        <w:rPr>
          <w:rFonts w:ascii="Calibri" w:hAnsi="Calibri" w:eastAsia="宋体"/>
          <w:b w:val="0"/>
          <w:sz w:val="21"/>
        </w:rPr>
        <w:t xml:space="preserve">Scenario 包含自车速度、限速、前车距离/速度、信号灯、停止线距离、行人距离、道路曲率、导航指令、天气与未见场景标志。Trajectory 包含 12×0.5s 的 </w:t>
      </w:r>
      <w:r>
        <w:rPr>
          <w:rFonts w:ascii="Calibri" w:hAnsi="Calibri" w:eastAsia="等线"/>
          <w:b/>
          <w:sz w:val="19"/>
        </w:rPr>
        <w:t>[纵向位置, 横向位置, 速度]</w:t>
      </w:r>
      <w:r>
        <w:rPr>
          <w:rFonts w:ascii="Calibri" w:hAnsi="Calibri" w:eastAsia="宋体"/>
          <w:b w:val="0"/>
          <w:sz w:val="21"/>
        </w:rPr>
        <w:t xml:space="preserve"> waypoint、目标速度、策略名和简短规划依据。训练/验证场景使用 clear/rain/fog，未见测试额外加入 night，并扩大曲率和红灯比例以形成分布偏移。</w:t>
      </w:r>
    </w:p>
    <w:p>
      <w:pPr>
        <w:pStyle w:val="Heading2"/>
      </w:pPr>
      <w:r>
        <w:rPr>
          <w:rFonts w:ascii="Calibri" w:hAnsi="Calibri" w:eastAsia="宋体"/>
          <w:b/>
          <w:color w:val="245B8A"/>
          <w:sz w:val="26"/>
        </w:rPr>
        <w:t>3.3 三维 Critic</w:t>
      </w:r>
    </w:p>
    <w:p>
      <w:pPr>
        <w:jc w:val="both"/>
      </w:pPr>
      <w:r>
        <w:rPr>
          <w:rFonts w:ascii="Calibri" w:hAnsi="Calibri" w:eastAsia="宋体"/>
          <w:b w:val="0"/>
          <w:sz w:val="21"/>
        </w:rPr>
        <w:t>规则 Critic 的安全维度检查时间到碰撞 TTC、行人礼让；规则维度检查超速和红灯停车；舒适性维度检查纵向 jerk 与横向加速度代理量。综合得分为：</w:t>
      </w:r>
    </w:p>
    <w:p>
      <w:pPr>
        <w:jc w:val="both"/>
      </w:pPr>
      <w:r>
        <w:rPr>
          <w:rFonts w:ascii="Calibri" w:hAnsi="Calibri" w:eastAsia="等线"/>
          <w:b/>
          <w:sz w:val="19"/>
        </w:rPr>
        <w:t>Score = 0.45 × Safety + 0.35 × Rule + 0.20 × Comfort</w:t>
      </w:r>
      <w:r>
        <w:rPr>
          <w:rFonts w:ascii="Calibri" w:hAnsi="Calibri" w:eastAsia="宋体"/>
          <w:b w:val="0"/>
          <w:sz w:val="21"/>
        </w:rPr>
        <w:t>。</w:t>
      </w:r>
    </w:p>
    <w:p>
      <w:pPr>
        <w:jc w:val="both"/>
      </w:pPr>
      <w:r>
        <w:rPr>
          <w:rFonts w:ascii="Calibri" w:hAnsi="Calibri" w:eastAsia="宋体"/>
          <w:b w:val="0"/>
          <w:sz w:val="21"/>
        </w:rPr>
        <w:t xml:space="preserve">安全权重最高，反映自动驾驶评价的约束优先级。Rule-based Critic 给出确定性标签和数值证据；LLM Critic 支持 OpenAI-compatible </w:t>
      </w:r>
      <w:r>
        <w:rPr>
          <w:rFonts w:ascii="Calibri" w:hAnsi="Calibri" w:eastAsia="等线"/>
          <w:b/>
          <w:sz w:val="19"/>
        </w:rPr>
        <w:t>/chat/completions</w:t>
      </w:r>
      <w:r>
        <w:rPr>
          <w:rFonts w:ascii="Calibri" w:hAnsi="Calibri" w:eastAsia="宋体"/>
          <w:b w:val="0"/>
          <w:sz w:val="21"/>
        </w:rPr>
        <w:t xml:space="preserve"> 严格 JSON 调用，默认离线模式使用可重复的有界分歧代理，避免 API 成本破坏一键复现；Reward Model 使用规则评价样本拟合三输出岭回归，验证学习型评价器能否逼近规则锚点。报告中的 LLM 离线结果明确标注为代理，不声称是真实大模型判断。</w:t>
      </w:r>
    </w:p>
    <w:p>
      <w:pPr>
        <w:pStyle w:val="Heading2"/>
      </w:pPr>
      <w:r>
        <w:rPr>
          <w:rFonts w:ascii="Calibri" w:hAnsi="Calibri" w:eastAsia="宋体"/>
          <w:b/>
          <w:color w:val="245B8A"/>
          <w:sz w:val="26"/>
        </w:rPr>
        <w:t>3.4 Driving Reflection 模板</w:t>
      </w:r>
    </w:p>
    <w:p>
      <w:pPr>
        <w:jc w:val="both"/>
      </w:pPr>
      <w:r>
        <w:rPr>
          <w:rFonts w:ascii="Calibri" w:hAnsi="Calibri" w:eastAsia="宋体"/>
          <w:b w:val="0"/>
          <w:sz w:val="21"/>
        </w:rPr>
        <w:t>每条 Reflection 包含：是否接受或修订；根因标签；可核验证据；逐条纠正策略；反事实动作；置信度。根因覆盖 unsafe_following、pedestrian_yield_failure、speeding、red_light_risk 和 uncomfortable_motion。质量分结合反思置信度与证据覆盖度，阈值为 0.58。通过该设计，训练数据不是“下次小心”式空泛文本，而是可定位、可验证、可转成偏好对的纠正知识。</w:t>
      </w:r>
    </w:p>
    <w:p>
      <w:pPr>
        <w:pStyle w:val="Heading2"/>
      </w:pPr>
      <w:r>
        <w:rPr>
          <w:rFonts w:ascii="Calibri" w:hAnsi="Calibri" w:eastAsia="宋体"/>
          <w:b/>
          <w:color w:val="245B8A"/>
          <w:sz w:val="26"/>
        </w:rPr>
        <w:t>3.5 Self-Evolution 训练</w:t>
      </w:r>
    </w:p>
    <w:p>
      <w:pPr>
        <w:jc w:val="both"/>
      </w:pPr>
      <w:r>
        <w:rPr>
          <w:rFonts w:ascii="Calibri" w:hAnsi="Calibri" w:eastAsia="宋体"/>
          <w:b w:val="0"/>
          <w:sz w:val="21"/>
        </w:rPr>
        <w:t xml:space="preserve">Baseline 是带噪声且可能漏检信号灯、行人或前车的轻量规划器。SFT 对专家目标速度执行带 L2 正则的最小二乘拟合。Reflection SFT 对 Critic 定位的失败样本按失败数量提高权重，使长尾错误在训练中获得更强梯度。DPO 轻量实验从 </w:t>
      </w:r>
      <w:r>
        <w:rPr>
          <w:rFonts w:ascii="Calibri" w:hAnsi="Calibri" w:eastAsia="等线"/>
          <w:b/>
          <w:sz w:val="19"/>
        </w:rPr>
        <w:t>专家纠正轨迹（chosen）</w:t>
      </w:r>
      <w:r>
        <w:rPr>
          <w:rFonts w:ascii="Calibri" w:hAnsi="Calibri" w:eastAsia="宋体"/>
          <w:b w:val="0"/>
          <w:sz w:val="21"/>
        </w:rPr>
        <w:t xml:space="preserve"> 与 </w:t>
      </w:r>
      <w:r>
        <w:rPr>
          <w:rFonts w:ascii="Calibri" w:hAnsi="Calibri" w:eastAsia="等线"/>
          <w:b/>
          <w:sz w:val="19"/>
        </w:rPr>
        <w:t>原失败轨迹（rejected）</w:t>
      </w:r>
      <w:r>
        <w:rPr>
          <w:rFonts w:ascii="Calibri" w:hAnsi="Calibri" w:eastAsia="宋体"/>
          <w:b w:val="0"/>
          <w:sz w:val="21"/>
        </w:rPr>
        <w:t xml:space="preserve"> 构造偏好对，在 Reflection SFT 权重上执行稳定的小步偏好更新。</w:t>
      </w:r>
    </w:p>
    <w:p>
      <w:pPr>
        <w:jc w:val="both"/>
      </w:pPr>
      <w:r>
        <w:rPr>
          <w:rFonts w:ascii="Calibri" w:hAnsi="Calibri" w:eastAsia="宋体"/>
          <w:b w:val="0"/>
          <w:sz w:val="21"/>
        </w:rPr>
        <w:t>为体现持续进化而非单次重训，系统进一步实现三轮失败回放。每轮用当前策略重新生成 1,813 条训练轨迹，Critic 定位失败，Reflection 生成纠正知识并写入经验记忆池，再依据失败严重度和综合得分动态提高样本权重。三轮轻量实验中，平均 Overall 从 96.245 提升到 97.238；需要修订的轨迹由 326 条降至 252 条，失败事件由 387 个降至 302 个，累计形成 835 条可追溯反思记忆。该结果属于冻结基座接口上的轻量代理实验，用于验证自进化机制的方向和工程闭环。</w:t>
      </w:r>
    </w:p>
    <w:p>
      <w:pPr>
        <w:jc w:val="both"/>
      </w:pPr>
      <w:r>
        <w:rPr>
          <w:rFonts w:ascii="Calibri" w:hAnsi="Calibri" w:eastAsia="宋体"/>
          <w:b w:val="0"/>
          <w:sz w:val="21"/>
        </w:rPr>
        <w:t xml:space="preserve">完整模型训练代码位于 </w:t>
      </w:r>
      <w:r>
        <w:rPr>
          <w:rFonts w:ascii="Calibri" w:hAnsi="Calibri" w:eastAsia="等线"/>
          <w:b/>
          <w:sz w:val="19"/>
        </w:rPr>
        <w:t>scripts/train_opendrivevla_peft.py</w:t>
      </w:r>
      <w:r>
        <w:rPr>
          <w:rFonts w:ascii="Calibri" w:hAnsi="Calibri" w:eastAsia="宋体"/>
          <w:b w:val="0"/>
          <w:sz w:val="21"/>
        </w:rPr>
        <w:t xml:space="preserve">。其从本地 OpenDriveVLA-0.5B 初始化，冻结视觉塔和原始参数，仅在 Q/K/V/O 注意力投影注入 LoRA；SFT 与 Reflection SFT 使用交叉熵目标，DPO 使用带冻结参考策略 log-ratio 的偏好损失。Windows 可通过 </w:t>
      </w:r>
      <w:r>
        <w:rPr>
          <w:rFonts w:ascii="Calibri" w:hAnsi="Calibri" w:eastAsia="等线"/>
          <w:b/>
          <w:sz w:val="19"/>
        </w:rPr>
        <w:t>--check-only</w:t>
      </w:r>
      <w:r>
        <w:rPr>
          <w:rFonts w:ascii="Calibri" w:hAnsi="Calibri" w:eastAsia="宋体"/>
          <w:b w:val="0"/>
          <w:sz w:val="21"/>
        </w:rPr>
        <w:t xml:space="preserve"> 核验模型、代码、数据和配置，Linux/CUDA 环境取消该参数即可执行训练。官方仓库尚未发布训练脚本，因此本项目补充了独立 PEFT 入口。</w:t>
      </w:r>
    </w:p>
    <w:p>
      <w:pPr>
        <w:pStyle w:val="Heading2"/>
      </w:pPr>
      <w:r>
        <w:rPr>
          <w:rFonts w:ascii="Calibri" w:hAnsi="Calibri" w:eastAsia="宋体"/>
          <w:b/>
          <w:color w:val="245B8A"/>
          <w:sz w:val="26"/>
        </w:rPr>
        <w:t>3.6 基座模型选择与非从零训练说明</w:t>
      </w:r>
    </w:p>
    <w:p>
      <w:pPr>
        <w:jc w:val="both"/>
      </w:pPr>
      <w:r>
        <w:rPr>
          <w:rFonts w:ascii="Calibri" w:hAnsi="Calibri" w:eastAsia="宋体"/>
          <w:b w:val="0"/>
          <w:sz w:val="21"/>
        </w:rPr>
        <w:t>正式研究路线把 OpenDriveVLA-0.5B 作为必要基座，而不是从随机参数训练。该选择直接对应课题指定的 OpenDriveVLA 论文与官方代码，具备驾驶场景 token、Qwen2.5 语言骨干和 waypoint 动作输出，且 0.5B 规模较 7B 或 22GB 级模型更适合课程算力。训练时必须加载其预训练 checkpoint，冻结视觉编码器和大部分语言层，仅对 multimodal projector、trajectory head 与少量 LoRA 参数执行 Reflection SFT，再使用 chosen/rejected 轨迹对进行 DPO；配合 8-bit/4-bit 量化、缓存视觉特征与梯度累积，可进一步降低显存需求。</w:t>
      </w:r>
    </w:p>
    <w:p>
      <w:pPr>
        <w:jc w:val="both"/>
      </w:pPr>
      <w:r>
        <w:rPr>
          <w:rFonts w:ascii="Calibri" w:hAnsi="Calibri" w:eastAsia="宋体"/>
          <w:b w:val="0"/>
          <w:sz w:val="21"/>
        </w:rPr>
        <w:t xml:space="preserve">本地已完整下载 OpenDriveVLA-0.5B 权重与官方代码。审计脚本验证 </w:t>
      </w:r>
      <w:r>
        <w:rPr>
          <w:rFonts w:ascii="Calibri" w:hAnsi="Calibri" w:eastAsia="等线"/>
          <w:b/>
          <w:sz w:val="19"/>
        </w:rPr>
        <w:t>model.safetensors</w:t>
      </w:r>
      <w:r>
        <w:rPr>
          <w:rFonts w:ascii="Calibri" w:hAnsi="Calibri" w:eastAsia="宋体"/>
          <w:b w:val="0"/>
          <w:sz w:val="21"/>
        </w:rPr>
        <w:t xml:space="preserve"> 大小为 1,466,080,342 字节、Safetensors 文件头有效、模型架构为 </w:t>
      </w:r>
      <w:r>
        <w:rPr>
          <w:rFonts w:ascii="Calibri" w:hAnsi="Calibri" w:eastAsia="等线"/>
          <w:b/>
          <w:sz w:val="19"/>
        </w:rPr>
        <w:t>LlavaQwenForCausalLM</w:t>
      </w:r>
      <w:r>
        <w:rPr>
          <w:rFonts w:ascii="Calibri" w:hAnsi="Calibri" w:eastAsia="宋体"/>
          <w:b w:val="0"/>
          <w:sz w:val="21"/>
        </w:rPr>
        <w:t xml:space="preserve">，且 </w:t>
      </w:r>
      <w:r>
        <w:rPr>
          <w:rFonts w:ascii="Calibri" w:hAnsi="Calibri" w:eastAsia="等线"/>
          <w:b/>
          <w:sz w:val="19"/>
        </w:rPr>
        <w:t>drivevla/</w:t>
      </w:r>
      <w:r>
        <w:rPr>
          <w:rFonts w:ascii="Calibri" w:hAnsi="Calibri" w:eastAsia="宋体"/>
          <w:b w:val="0"/>
          <w:sz w:val="21"/>
        </w:rPr>
        <w:t>、</w:t>
      </w:r>
      <w:r>
        <w:rPr>
          <w:rFonts w:ascii="Calibri" w:hAnsi="Calibri" w:eastAsia="等线"/>
          <w:b/>
          <w:sz w:val="19"/>
        </w:rPr>
        <w:t>llava/</w:t>
      </w:r>
      <w:r>
        <w:rPr>
          <w:rFonts w:ascii="Calibri" w:hAnsi="Calibri" w:eastAsia="宋体"/>
          <w:b w:val="0"/>
          <w:sz w:val="21"/>
        </w:rPr>
        <w:t>、</w:t>
      </w:r>
      <w:r>
        <w:rPr>
          <w:rFonts w:ascii="Calibri" w:hAnsi="Calibri" w:eastAsia="等线"/>
          <w:b/>
          <w:sz w:val="19"/>
        </w:rPr>
        <w:t>projects/</w:t>
      </w:r>
      <w:r>
        <w:rPr>
          <w:rFonts w:ascii="Calibri" w:hAnsi="Calibri" w:eastAsia="宋体"/>
          <w:b w:val="0"/>
          <w:sz w:val="21"/>
        </w:rPr>
        <w:t>、</w:t>
      </w:r>
      <w:r>
        <w:rPr>
          <w:rFonts w:ascii="Calibri" w:hAnsi="Calibri" w:eastAsia="等线"/>
          <w:b/>
          <w:sz w:val="19"/>
        </w:rPr>
        <w:t>scripts/</w:t>
      </w:r>
      <w:r>
        <w:rPr>
          <w:rFonts w:ascii="Calibri" w:hAnsi="Calibri" w:eastAsia="宋体"/>
          <w:b w:val="0"/>
          <w:sz w:val="21"/>
        </w:rPr>
        <w:t>、</w:t>
      </w:r>
      <w:r>
        <w:rPr>
          <w:rFonts w:ascii="Calibri" w:hAnsi="Calibri" w:eastAsia="等线"/>
          <w:b/>
          <w:sz w:val="19"/>
        </w:rPr>
        <w:t>third_party/</w:t>
      </w:r>
      <w:r>
        <w:rPr>
          <w:rFonts w:ascii="Calibri" w:hAnsi="Calibri" w:eastAsia="宋体"/>
          <w:b w:val="0"/>
          <w:sz w:val="21"/>
        </w:rPr>
        <w:t xml:space="preserve"> 均存在。本地 Demo 采用冻结基座适配模式：</w:t>
      </w:r>
      <w:r>
        <w:rPr>
          <w:rFonts w:ascii="Calibri" w:hAnsi="Calibri" w:eastAsia="等线"/>
          <w:b/>
          <w:sz w:val="19"/>
        </w:rPr>
        <w:t>BaseModelAdapter</w:t>
      </w:r>
      <w:r>
        <w:rPr>
          <w:rFonts w:ascii="Calibri" w:hAnsi="Calibri" w:eastAsia="宋体"/>
          <w:b w:val="0"/>
          <w:sz w:val="21"/>
        </w:rPr>
        <w:t xml:space="preserve"> 固定记录 OpenDriveVLA checkpoint、架构、tokenizer 和官方六点轨迹格式；若存在 Linux/GPU 产生的匹配缓存，则回放真实 OpenDriveVLA 输出，否则明确使用 </w:t>
      </w:r>
      <w:r>
        <w:rPr>
          <w:rFonts w:ascii="Calibri" w:hAnsi="Calibri" w:eastAsia="等线"/>
          <w:b/>
          <w:sz w:val="19"/>
        </w:rPr>
        <w:t>LiteVLA CPU surrogate</w:t>
      </w:r>
      <w:r>
        <w:rPr>
          <w:rFonts w:ascii="Calibri" w:hAnsi="Calibri" w:eastAsia="宋体"/>
          <w:b w:val="0"/>
          <w:sz w:val="21"/>
        </w:rPr>
        <w:t xml:space="preserve"> 完成轻量实验。页面分别披露 </w:t>
      </w:r>
      <w:r>
        <w:rPr>
          <w:rFonts w:ascii="Calibri" w:hAnsi="Calibri" w:eastAsia="等线"/>
          <w:b/>
          <w:sz w:val="19"/>
        </w:rPr>
        <w:t>checkpoint_installed</w:t>
      </w:r>
      <w:r>
        <w:rPr>
          <w:rFonts w:ascii="Calibri" w:hAnsi="Calibri" w:eastAsia="宋体"/>
          <w:b w:val="0"/>
          <w:sz w:val="21"/>
        </w:rPr>
        <w:t>、</w:t>
      </w:r>
      <w:r>
        <w:rPr>
          <w:rFonts w:ascii="Calibri" w:hAnsi="Calibri" w:eastAsia="等线"/>
          <w:b/>
          <w:sz w:val="19"/>
        </w:rPr>
        <w:t>weights_loaded</w:t>
      </w:r>
      <w:r>
        <w:rPr>
          <w:rFonts w:ascii="Calibri" w:hAnsi="Calibri" w:eastAsia="宋体"/>
          <w:b w:val="0"/>
          <w:sz w:val="21"/>
        </w:rPr>
        <w:t xml:space="preserve"> 和轨迹来源，避免把“模型已下载”误写成“本机已执行视觉推理”。</w:t>
      </w:r>
    </w:p>
    <w:p>
      <w:pPr>
        <w:pStyle w:val="Heading1"/>
      </w:pPr>
      <w:r>
        <w:rPr>
          <w:rFonts w:ascii="Calibri" w:hAnsi="Calibri" w:eastAsia="宋体"/>
          <w:b/>
          <w:color w:val="245B8A"/>
          <w:sz w:val="32"/>
        </w:rPr>
        <w:t>4. 实验设计</w:t>
      </w:r>
    </w:p>
    <w:p>
      <w:pPr>
        <w:pStyle w:val="Heading2"/>
      </w:pPr>
      <w:r>
        <w:rPr>
          <w:rFonts w:ascii="Calibri" w:hAnsi="Calibri" w:eastAsia="宋体"/>
          <w:b/>
          <w:color w:val="245B8A"/>
          <w:sz w:val="26"/>
        </w:rPr>
        <w:t>4.1 数据规模与划分</w:t>
      </w:r>
    </w:p>
    <w:p>
      <w:pPr>
        <w:jc w:val="both"/>
      </w:pPr>
      <w:r>
        <w:rPr>
          <w:rFonts w:ascii="Calibri" w:hAnsi="Calibri" w:eastAsia="宋体"/>
          <w:b w:val="0"/>
          <w:sz w:val="21"/>
        </w:rPr>
        <w:t xml:space="preserve">固定 </w:t>
      </w:r>
      <w:r>
        <w:rPr>
          <w:rFonts w:ascii="Calibri" w:hAnsi="Calibri" w:eastAsia="等线"/>
          <w:b/>
          <w:sz w:val="19"/>
        </w:rPr>
        <w:t>seed=42</w:t>
      </w:r>
      <w:r>
        <w:rPr>
          <w:rFonts w:ascii="Calibri" w:hAnsi="Calibri" w:eastAsia="宋体"/>
          <w:b w:val="0"/>
          <w:sz w:val="21"/>
        </w:rPr>
        <w:t xml:space="preserve"> 生成 5,000 条样本。其中训练/验证来自常见天气，最后 1,000 条为未见测试场景并包含夜间条件。流水线按轮换方式使用 80% Rule Critic、10% LLM 离线代理、10% Reward Model；经过质量阈值过滤保留 2,730 条，最终 Reflection 训练使用 1,813 条训练划分高质量样本。</w:t>
      </w:r>
    </w:p>
    <w:p>
      <w:pPr>
        <w:jc w:val="both"/>
      </w:pPr>
      <w:r>
        <w:rPr>
          <w:rFonts w:ascii="Calibri" w:hAnsi="Calibri" w:eastAsia="宋体"/>
          <w:b w:val="0"/>
          <w:sz w:val="21"/>
        </w:rPr>
        <w:t xml:space="preserve">为与完整 OpenDriveVLA 训练对齐，数据导出器进一步生成 1,813 条普通 SFT 样本、1,813 条 Reflection SFT 样本和 1,112 对 DPO chosen/rejected 偏好数据。每条记录包含基座名称、场景 ID、来源类型、结构化 prompt、轨迹 token 和预留的多相机 </w:t>
      </w:r>
      <w:r>
        <w:rPr>
          <w:rFonts w:ascii="Calibri" w:hAnsi="Calibri" w:eastAsia="等线"/>
          <w:b/>
          <w:sz w:val="19"/>
        </w:rPr>
        <w:t>image_refs</w:t>
      </w:r>
      <w:r>
        <w:rPr>
          <w:rFonts w:ascii="Calibri" w:hAnsi="Calibri" w:eastAsia="宋体"/>
          <w:b w:val="0"/>
          <w:sz w:val="21"/>
        </w:rPr>
        <w:t xml:space="preserve"> 字段；轻量实验中图像引用为空，接入 nuScenes 时保持 schema 不变并替换为真实图像和 UniAD 特征引用。</w:t>
      </w:r>
    </w:p>
    <w:p>
      <w:pPr>
        <w:pStyle w:val="Heading2"/>
      </w:pPr>
      <w:r>
        <w:rPr>
          <w:rFonts w:ascii="Calibri" w:hAnsi="Calibri" w:eastAsia="宋体"/>
          <w:b/>
          <w:color w:val="245B8A"/>
          <w:sz w:val="26"/>
        </w:rPr>
        <w:t>4.2 指标</w:t>
      </w:r>
    </w:p>
    <w:p>
      <w:pPr>
        <w:jc w:val="both"/>
      </w:pPr>
      <w:r>
        <w:rPr>
          <w:rFonts w:ascii="Calibri" w:hAnsi="Calibri" w:eastAsia="宋体"/>
          <w:b w:val="0"/>
          <w:sz w:val="21"/>
        </w:rPr>
        <w:t>主要指标包括：碰撞风险代理率（TTC 失败）、交通违章代理率（超速和红灯风险）、行人礼让失败率、不舒适率、Safety/Rule/Comfort/Overall 均分，以及目标速度相对专家规则的 MAE。由于轻量模拟器没有真实物理碰撞和传感器闭环，所有“率”均明确称为代理指标。</w:t>
      </w:r>
    </w:p>
    <w:p>
      <w:pPr>
        <w:pStyle w:val="Heading2"/>
      </w:pPr>
      <w:r>
        <w:rPr>
          <w:rFonts w:ascii="Calibri" w:hAnsi="Calibri" w:eastAsia="宋体"/>
          <w:b/>
          <w:color w:val="245B8A"/>
          <w:sz w:val="26"/>
        </w:rPr>
        <w:t>4.3 对比与消融</w:t>
      </w:r>
    </w:p>
    <w:p>
      <w:pPr>
        <w:jc w:val="both"/>
      </w:pPr>
      <w:r>
        <w:rPr>
          <w:rFonts w:ascii="Calibri" w:hAnsi="Calibri" w:eastAsia="宋体"/>
          <w:b w:val="0"/>
          <w:sz w:val="21"/>
        </w:rPr>
        <w:t>对比四种策略：Baseline、SFT、Reflection SFT、Reflection DPO。Critic 分析比较 Rule、LLM 离线代理与 Reward Model 的样本数、均值和标准差；失败案例分析聚焦红灯、行人和前车三类风险；泛化测试仅使用训练中未出现的 night 天气和更大曲率范围。</w:t>
      </w:r>
    </w:p>
    <w:p>
      <w:pPr>
        <w:pStyle w:val="Heading1"/>
      </w:pPr>
      <w:r>
        <w:rPr>
          <w:rFonts w:ascii="Calibri" w:hAnsi="Calibri" w:eastAsia="宋体"/>
          <w:b/>
          <w:color w:val="245B8A"/>
          <w:sz w:val="32"/>
        </w:rPr>
        <w:t>5. 实验结果与分析</w:t>
      </w:r>
    </w:p>
    <w:p>
      <w:pPr>
        <w:pStyle w:val="Heading2"/>
      </w:pPr>
      <w:r>
        <w:rPr>
          <w:rFonts w:ascii="Calibri" w:hAnsi="Calibri" w:eastAsia="宋体"/>
          <w:b/>
          <w:color w:val="245B8A"/>
          <w:sz w:val="26"/>
        </w:rPr>
        <w:t>5.1 未见场景主结果</w:t>
      </w:r>
    </w:p>
    <w:tbl>
      <w:tblPr>
        <w:jc w:val="left"/>
        <w:tblLayout w:type="fixed"/>
        <w:tblLook w:firstColumn="1" w:firstRow="1" w:lastColumn="0" w:lastRow="0" w:noHBand="0" w:noVBand="1" w:val="04A0"/>
        <w:tblW w:w="9360" w:type="dxa"/>
        <w:tblInd w:w="120" w:type="dxa"/>
      </w:tblPr>
      <w:tblGrid>
        <w:gridCol w:w="1500"/>
        <w:gridCol w:w="1050"/>
        <w:gridCol w:w="1050"/>
        <w:gridCol w:w="1050"/>
        <w:gridCol w:w="1100"/>
        <w:gridCol w:w="1100"/>
        <w:gridCol w:w="1200"/>
        <w:gridCol w:w="1310"/>
      </w:tblGrid>
      <w:tr>
        <w:trPr>
          <w:cantSplit/>
          <w:tblHeader w:val="true"/>
        </w:trPr>
        <w:tc>
          <w:tcPr>
            <w:tcW w:type="dxa" w:w="150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策略</w:t>
            </w:r>
          </w:p>
        </w:tc>
        <w:tc>
          <w:tcPr>
            <w:tcW w:type="dxa" w:w="105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碰撞风险率↓</w:t>
            </w:r>
          </w:p>
        </w:tc>
        <w:tc>
          <w:tcPr>
            <w:tcW w:type="dxa" w:w="105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违章率↓</w:t>
            </w:r>
          </w:p>
        </w:tc>
        <w:tc>
          <w:tcPr>
            <w:tcW w:type="dxa" w:w="105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行人礼让失败率↓</w:t>
            </w:r>
          </w:p>
        </w:tc>
        <w:tc>
          <w:tcPr>
            <w:tcW w:type="dxa" w:w="110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Safety↑</w:t>
            </w:r>
          </w:p>
        </w:tc>
        <w:tc>
          <w:tcPr>
            <w:tcW w:type="dxa" w:w="110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Rule↑</w:t>
            </w:r>
          </w:p>
        </w:tc>
        <w:tc>
          <w:tcPr>
            <w:tcW w:type="dxa" w:w="120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Overall↑</w:t>
            </w:r>
          </w:p>
        </w:tc>
        <w:tc>
          <w:tcPr>
            <w:tcW w:type="dxa" w:w="1310"/>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目标速度 MAE↓</w:t>
            </w:r>
          </w:p>
        </w:tc>
      </w:tr>
      <w:tr>
        <w:trPr>
          <w:cantSplit/>
        </w:trPr>
        <w:tc>
          <w:tcPr>
            <w:tcW w:type="dxa" w:w="1500"/>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Baseline</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8.9%</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45.4%</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5.9%</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94.909</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81.335</w:t>
            </w:r>
          </w:p>
        </w:tc>
        <w:tc>
          <w:tcPr>
            <w:tcW w:type="dxa" w:w="12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91.176</w:t>
            </w:r>
          </w:p>
        </w:tc>
        <w:tc>
          <w:tcPr>
            <w:tcW w:type="dxa" w:w="131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5.163</w:t>
            </w:r>
          </w:p>
        </w:tc>
      </w:tr>
      <w:tr>
        <w:trPr>
          <w:cantSplit/>
        </w:trPr>
        <w:tc>
          <w:tcPr>
            <w:tcW w:type="dxa" w:w="1500"/>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SFT</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3.2%</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7.5%</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1.5%</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98.339</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95.985</w:t>
            </w:r>
          </w:p>
        </w:tc>
        <w:tc>
          <w:tcPr>
            <w:tcW w:type="dxa" w:w="12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97.847</w:t>
            </w:r>
          </w:p>
        </w:tc>
        <w:tc>
          <w:tcPr>
            <w:tcW w:type="dxa" w:w="131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1.512</w:t>
            </w:r>
          </w:p>
        </w:tc>
      </w:tr>
      <w:tr>
        <w:trPr>
          <w:cantSplit/>
        </w:trPr>
        <w:tc>
          <w:tcPr>
            <w:tcW w:type="dxa" w:w="1500"/>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Reflection SFT</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3.3%</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7.2%</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1.4%</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98.394</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96.123</w:t>
            </w:r>
          </w:p>
        </w:tc>
        <w:tc>
          <w:tcPr>
            <w:tcW w:type="dxa" w:w="12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97.920</w:t>
            </w:r>
          </w:p>
        </w:tc>
        <w:tc>
          <w:tcPr>
            <w:tcW w:type="dxa" w:w="131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1.561</w:t>
            </w:r>
          </w:p>
        </w:tc>
      </w:tr>
      <w:tr>
        <w:trPr>
          <w:cantSplit/>
        </w:trPr>
        <w:tc>
          <w:tcPr>
            <w:tcW w:type="dxa" w:w="1500"/>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Reflection DPO</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3.0%</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5.1%</w:t>
            </w:r>
          </w:p>
        </w:tc>
        <w:tc>
          <w:tcPr>
            <w:tcW w:type="dxa" w:w="105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0.3%</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99.045</w:t>
            </w:r>
          </w:p>
        </w:tc>
        <w:tc>
          <w:tcPr>
            <w:tcW w:type="dxa" w:w="11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97.343</w:t>
            </w:r>
          </w:p>
        </w:tc>
        <w:tc>
          <w:tcPr>
            <w:tcW w:type="dxa" w:w="120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98.640</w:t>
            </w:r>
          </w:p>
        </w:tc>
        <w:tc>
          <w:tcPr>
            <w:tcW w:type="dxa" w:w="1310"/>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1.980</w:t>
            </w:r>
          </w:p>
        </w:tc>
      </w:tr>
    </w:tbl>
    <w:p>
      <w:pPr>
        <w:spacing w:after="20"/>
      </w:pPr>
    </w:p>
    <w:p>
      <w:pPr>
        <w:jc w:val="both"/>
      </w:pPr>
      <w:r>
        <w:rPr>
          <w:rFonts w:ascii="Calibri" w:hAnsi="Calibri" w:eastAsia="宋体"/>
          <w:b w:val="0"/>
          <w:sz w:val="21"/>
        </w:rPr>
        <w:t>SFT 带来最大的第一阶段提升，说明专家动作监督仍是基本盘。Reflection SFT 相比 SFT 的总体提升较小，但 Rule 分数、违章率和行人礼让均继续改善，符合失败样本加权主要强化安全长尾而非平均回归误差的预期。DPO 进一步显著降低行人和规则风险，但目标速度 MAE 从 1.561 上升到 1.980，表现出更保守的安全偏好与专家平均速度之间的权衡；这正是偏好优化需要结合效率约束的原因。</w:t>
      </w:r>
    </w:p>
    <w:p>
      <w:pPr>
        <w:pStyle w:val="Heading2"/>
      </w:pPr>
      <w:r>
        <w:rPr>
          <w:rFonts w:ascii="Calibri" w:hAnsi="Calibri" w:eastAsia="宋体"/>
          <w:b/>
          <w:color w:val="245B8A"/>
          <w:sz w:val="26"/>
        </w:rPr>
        <w:t>5.2 Critic 对比</w:t>
      </w:r>
    </w:p>
    <w:tbl>
      <w:tblPr>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cantSplit/>
          <w:tblHeader w:val="true"/>
        </w:trPr>
        <w:tc>
          <w:tcPr>
            <w:tcW w:type="dxa" w:w="1872"/>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Critic</w:t>
            </w:r>
          </w:p>
        </w:tc>
        <w:tc>
          <w:tcPr>
            <w:tcW w:type="dxa" w:w="1872"/>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样本数</w:t>
            </w:r>
          </w:p>
        </w:tc>
        <w:tc>
          <w:tcPr>
            <w:tcW w:type="dxa" w:w="1872"/>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Overall 均值</w:t>
            </w:r>
          </w:p>
        </w:tc>
        <w:tc>
          <w:tcPr>
            <w:tcW w:type="dxa" w:w="1872"/>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标准差</w:t>
            </w:r>
          </w:p>
        </w:tc>
        <w:tc>
          <w:tcPr>
            <w:tcW w:type="dxa" w:w="1872"/>
            <w:vAlign w:val="center"/>
            <w:tcMar>
              <w:top w:w="80" w:type="dxa"/>
              <w:start w:w="120" w:type="dxa"/>
              <w:bottom w:w="80" w:type="dxa"/>
              <w:end w:w="120" w:type="dxa"/>
            </w:tcMar>
            <w:shd w:fill="EAF1F7"/>
          </w:tcPr>
          <w:p>
            <w:pPr>
              <w:keepNext/>
              <w:spacing w:after="40" w:line="252" w:lineRule="auto"/>
              <w:jc w:val="center"/>
            </w:pPr>
            <w:r/>
            <w:r>
              <w:rPr>
                <w:rFonts w:ascii="Calibri" w:hAnsi="Calibri" w:eastAsia="微软雅黑"/>
                <w:b/>
                <w:color w:val="163A5F"/>
                <w:sz w:val="16"/>
              </w:rPr>
              <w:t>特点</w:t>
            </w:r>
          </w:p>
        </w:tc>
      </w:tr>
      <w:tr>
        <w:trPr>
          <w:cantSplit/>
        </w:trPr>
        <w:tc>
          <w:tcPr>
            <w:tcW w:type="dxa" w:w="1872"/>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Rule-based</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4000</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92.132</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11.632</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确定、可解释、覆盖受规则限制</w:t>
            </w:r>
          </w:p>
        </w:tc>
      </w:tr>
      <w:tr>
        <w:trPr>
          <w:cantSplit/>
        </w:trPr>
        <w:tc>
          <w:tcPr>
            <w:tcW w:type="dxa" w:w="1872"/>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LLM offline proxy</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500</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91.959</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11.986</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可复现的接口代理，不等同真实 LLM</w:t>
            </w:r>
          </w:p>
        </w:tc>
      </w:tr>
      <w:tr>
        <w:trPr>
          <w:cantSplit/>
        </w:trPr>
        <w:tc>
          <w:tcPr>
            <w:tcW w:type="dxa" w:w="1872"/>
            <w:vAlign w:val="center"/>
            <w:tcMar>
              <w:top w:w="80" w:type="dxa"/>
              <w:start w:w="120" w:type="dxa"/>
              <w:bottom w:w="80" w:type="dxa"/>
              <w:end w:w="120" w:type="dxa"/>
            </w:tcMar>
          </w:tcPr>
          <w:p>
            <w:pPr>
              <w:spacing w:after="40" w:line="252" w:lineRule="auto"/>
              <w:jc w:val="left"/>
            </w:pPr>
            <w:r/>
            <w:r>
              <w:rPr>
                <w:rFonts w:ascii="Calibri" w:hAnsi="Calibri" w:eastAsia="宋体"/>
                <w:b w:val="0"/>
                <w:sz w:val="16"/>
              </w:rPr>
              <w:t>Reward Model</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500</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91.213</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8.374</w:t>
            </w:r>
          </w:p>
        </w:tc>
        <w:tc>
          <w:tcPr>
            <w:tcW w:type="dxa" w:w="1872"/>
            <w:vAlign w:val="center"/>
            <w:tcMar>
              <w:top w:w="80" w:type="dxa"/>
              <w:start w:w="120" w:type="dxa"/>
              <w:bottom w:w="80" w:type="dxa"/>
              <w:end w:w="120" w:type="dxa"/>
            </w:tcMar>
          </w:tcPr>
          <w:p>
            <w:pPr>
              <w:spacing w:after="40" w:line="252" w:lineRule="auto"/>
              <w:jc w:val="center"/>
            </w:pPr>
            <w:r/>
            <w:r>
              <w:rPr>
                <w:rFonts w:ascii="Calibri" w:hAnsi="Calibri" w:eastAsia="宋体"/>
                <w:b w:val="0"/>
                <w:sz w:val="16"/>
              </w:rPr>
              <w:t>平滑但方差偏小，可能弱化极端失败</w:t>
            </w:r>
          </w:p>
        </w:tc>
      </w:tr>
    </w:tbl>
    <w:p>
      <w:pPr>
        <w:spacing w:after="20"/>
      </w:pPr>
    </w:p>
    <w:p>
      <w:pPr>
        <w:jc w:val="both"/>
      </w:pPr>
      <w:r>
        <w:rPr>
          <w:rFonts w:ascii="Calibri" w:hAnsi="Calibri" w:eastAsia="宋体"/>
          <w:b w:val="0"/>
          <w:sz w:val="21"/>
        </w:rPr>
        <w:t>三个 Critic 均值接近，但 Reward Model 的标准差明显更小，说明线性奖励模型存在回归均值倾向，对严重长尾风险可能不够敏感。因此推荐采用“规则硬门槛 + 学习型排序 + LLM 解释复核”的组合，而非让单一 Reward Model 决定安全样本是否通过。</w:t>
      </w:r>
    </w:p>
    <w:p>
      <w:pPr>
        <w:pStyle w:val="Heading2"/>
      </w:pPr>
      <w:r>
        <w:rPr>
          <w:rFonts w:ascii="Calibri" w:hAnsi="Calibri" w:eastAsia="宋体"/>
          <w:b/>
          <w:color w:val="245B8A"/>
          <w:sz w:val="26"/>
        </w:rPr>
        <w:t>5.3 失败归因与泛化</w:t>
      </w:r>
    </w:p>
    <w:p>
      <w:pPr>
        <w:jc w:val="both"/>
      </w:pPr>
      <w:r>
        <w:rPr>
          <w:rFonts w:ascii="Calibri" w:hAnsi="Calibri" w:eastAsia="宋体"/>
          <w:b w:val="0"/>
          <w:sz w:val="21"/>
        </w:rPr>
        <w:t>红灯失败可由“红灯、停止线距离、目标速度过高”三项证据定位，纠正策略为提前渐进制动并保持停车；行人失败关联行人距离与当前目标速度，纠正为提前礼让并保留全停余量；跟车失败使用 TTC 代理直接定位。未见场景仍保持显著改善，说明闭环学习到的是条件约束而非场景编号。然而，夜间在本 demo 中只是结构化变量，没有真实图像域偏移，因此不能据此宣称视觉泛化已经解决。</w:t>
      </w:r>
    </w:p>
    <w:p>
      <w:pPr>
        <w:pStyle w:val="Heading2"/>
      </w:pPr>
      <w:r>
        <w:rPr>
          <w:rFonts w:ascii="Calibri" w:hAnsi="Calibri" w:eastAsia="宋体"/>
          <w:b/>
          <w:color w:val="245B8A"/>
          <w:sz w:val="26"/>
        </w:rPr>
        <w:t>5.4 舒适性指标解释</w:t>
      </w:r>
    </w:p>
    <w:p>
      <w:pPr>
        <w:jc w:val="both"/>
      </w:pPr>
      <w:r>
        <w:rPr>
          <w:rFonts w:ascii="Calibri" w:hAnsi="Calibri" w:eastAsia="宋体"/>
          <w:b w:val="0"/>
          <w:sz w:val="21"/>
        </w:rPr>
        <w:t>四种策略在当前轨迹生成器中均未触发不舒适阈值，Comfort 均分为 100。这不是“舒适性完美”，而是当前解析轨迹由平滑一阶速度控制器生成，场景难度不足以区分模型。真实扩展应加入急切入、非平稳前车、道路颠簸和横向避障，并使用加速度、jerk、横摆角速度及 CARLA 动力学反馈扩大舒适性辨识度。</w:t>
      </w:r>
    </w:p>
    <w:p>
      <w:pPr>
        <w:pStyle w:val="Heading1"/>
      </w:pPr>
      <w:r>
        <w:rPr>
          <w:rFonts w:ascii="Calibri" w:hAnsi="Calibri" w:eastAsia="宋体"/>
          <w:b/>
          <w:color w:val="245B8A"/>
          <w:sz w:val="32"/>
        </w:rPr>
        <w:t>6. Demo 与工程实现</w:t>
      </w:r>
    </w:p>
    <w:p>
      <w:pPr>
        <w:jc w:val="left"/>
      </w:pPr>
      <w:r>
        <w:rPr>
          <w:rFonts w:ascii="Calibri" w:hAnsi="Calibri" w:eastAsia="宋体"/>
          <w:b w:val="0"/>
          <w:sz w:val="21"/>
        </w:rPr>
        <w:t xml:space="preserve">运行 </w:t>
      </w:r>
      <w:r>
        <w:rPr>
          <w:rFonts w:ascii="Calibri" w:hAnsi="Calibri" w:eastAsia="等线"/>
          <w:b/>
          <w:sz w:val="19"/>
        </w:rPr>
        <w:t>python scripts/run_all.py --samples 5000</w:t>
      </w:r>
      <w:r>
        <w:rPr>
          <w:rFonts w:ascii="Calibri" w:hAnsi="Calibri" w:eastAsia="宋体"/>
          <w:b w:val="0"/>
          <w:sz w:val="21"/>
        </w:rPr>
        <w:t xml:space="preserve"> 可一键执行数据构建、轻量训练和评估；随后执行 </w:t>
      </w:r>
      <w:r>
        <w:rPr>
          <w:rFonts w:ascii="Calibri" w:hAnsi="Calibri" w:eastAsia="等线"/>
          <w:b/>
          <w:sz w:val="19"/>
        </w:rPr>
        <w:t>python scripts/prepare_vla_training.py</w:t>
      </w:r>
      <w:r>
        <w:rPr>
          <w:rFonts w:ascii="Calibri" w:hAnsi="Calibri" w:eastAsia="宋体"/>
          <w:b w:val="0"/>
          <w:sz w:val="21"/>
        </w:rPr>
        <w:t xml:space="preserve"> 导出 OpenDriveVLA 三阶段训练数据。运行 </w:t>
      </w:r>
      <w:r>
        <w:rPr>
          <w:rFonts w:ascii="Calibri" w:hAnsi="Calibri" w:eastAsia="等线"/>
          <w:b/>
          <w:sz w:val="19"/>
        </w:rPr>
        <w:t>python scripts/run_demo.py</w:t>
      </w:r>
      <w:r>
        <w:rPr>
          <w:rFonts w:ascii="Calibri" w:hAnsi="Calibri" w:eastAsia="宋体"/>
          <w:b w:val="0"/>
          <w:sz w:val="21"/>
        </w:rPr>
        <w:t xml:space="preserve"> 后访问 </w:t>
      </w:r>
      <w:r>
        <w:rPr>
          <w:rFonts w:ascii="Calibri" w:hAnsi="Calibri" w:eastAsia="等线"/>
          <w:b/>
          <w:sz w:val="19"/>
        </w:rPr>
        <w:t>http://127.0.0.1:8000</w:t>
      </w:r>
      <w:r>
        <w:rPr>
          <w:rFonts w:ascii="Calibri" w:hAnsi="Calibri" w:eastAsia="宋体"/>
          <w:b w:val="0"/>
          <w:sz w:val="21"/>
        </w:rPr>
        <w:t xml:space="preserve">，Windows 也可双击根目录的 </w:t>
      </w:r>
      <w:r>
        <w:rPr>
          <w:rFonts w:ascii="Calibri" w:hAnsi="Calibri" w:eastAsia="等线"/>
          <w:b/>
          <w:sz w:val="19"/>
        </w:rPr>
        <w:t>启动Demo.bat</w:t>
      </w:r>
      <w:r>
        <w:rPr>
          <w:rFonts w:ascii="Calibri" w:hAnsi="Calibri" w:eastAsia="宋体"/>
          <w:b w:val="0"/>
          <w:sz w:val="21"/>
        </w:rPr>
        <w:t xml:space="preserve">。新版网页由 Python 动态 API 驱动，不是离线静态页面：前端不保存固定场景、轨迹或分数，四类演示场景由后端从完整 5,000 条训练数据中动态匹配，也支持按 </w:t>
      </w:r>
      <w:r>
        <w:rPr>
          <w:rFonts w:ascii="Calibri" w:hAnsi="Calibri" w:eastAsia="等线"/>
          <w:b/>
          <w:sz w:val="19"/>
        </w:rPr>
        <w:t>scene_id</w:t>
      </w:r>
      <w:r>
        <w:rPr>
          <w:rFonts w:ascii="Calibri" w:hAnsi="Calibri" w:eastAsia="宋体"/>
          <w:b w:val="0"/>
          <w:sz w:val="21"/>
        </w:rPr>
        <w:t xml:space="preserve"> 和随机偏移加载。道路几何、停止线、信号灯、前车、行人、弯道和天气效果均由本次场景 JSON 驱动；红色轨迹表示初始 Baseline，青色轨迹表示反思后策略；播放控件动态模拟 6 秒路径规划窗口。</w:t>
      </w:r>
    </w:p>
    <w:p>
      <w:pPr>
        <w:jc w:val="both"/>
      </w:pPr>
      <w:r>
        <w:rPr>
          <w:rFonts w:ascii="Calibri" w:hAnsi="Calibri" w:eastAsia="宋体"/>
          <w:b w:val="0"/>
          <w:sz w:val="21"/>
        </w:rPr>
        <w:t>现场演示建议按以下顺序操作：</w:t>
      </w:r>
    </w:p>
    <w:p>
      <w:pPr>
        <w:pStyle w:val="ListBullet"/>
      </w:pPr>
      <w:r>
        <w:rPr>
          <w:rFonts w:ascii="Calibri" w:hAnsi="Calibri" w:eastAsia="宋体"/>
          <w:b w:val="0"/>
          <w:sz w:val="21"/>
        </w:rPr>
        <w:t xml:space="preserve">选择“红灯路口”，运行后观察 Baseline 是否因较高目标速度触发 </w:t>
      </w:r>
      <w:r>
        <w:rPr>
          <w:rFonts w:ascii="Calibri" w:hAnsi="Calibri" w:eastAsia="等线"/>
          <w:b/>
          <w:sz w:val="19"/>
        </w:rPr>
        <w:t>red_light_risk</w:t>
      </w:r>
      <w:r>
        <w:rPr>
          <w:rFonts w:ascii="Calibri" w:hAnsi="Calibri" w:eastAsia="宋体"/>
          <w:b w:val="0"/>
          <w:sz w:val="21"/>
        </w:rPr>
        <w:t>。</w:t>
      </w:r>
    </w:p>
    <w:p>
      <w:pPr>
        <w:pStyle w:val="ListBullet"/>
      </w:pPr>
      <w:r>
        <w:rPr>
          <w:rFonts w:ascii="Calibri" w:hAnsi="Calibri" w:eastAsia="宋体"/>
          <w:b w:val="0"/>
          <w:sz w:val="21"/>
        </w:rPr>
        <w:t>播放双轨迹动画，对比反思后策略的提前减速和 Overall 变化。</w:t>
      </w:r>
    </w:p>
    <w:p>
      <w:pPr>
        <w:pStyle w:val="ListBullet"/>
      </w:pPr>
      <w:r>
        <w:rPr>
          <w:rFonts w:ascii="Calibri" w:hAnsi="Calibri" w:eastAsia="宋体"/>
          <w:b w:val="0"/>
          <w:sz w:val="21"/>
        </w:rPr>
        <w:t>在时间线中依次解释感知、初始规划、Critic 证据、纠正策略和重规划结果。</w:t>
      </w:r>
    </w:p>
    <w:p>
      <w:pPr>
        <w:pStyle w:val="ListBullet"/>
      </w:pPr>
      <w:r>
        <w:rPr>
          <w:rFonts w:ascii="Calibri" w:hAnsi="Calibri" w:eastAsia="宋体"/>
          <w:b w:val="0"/>
          <w:sz w:val="21"/>
        </w:rPr>
        <w:t>切换“行人横穿”或“前车急缓”，验证同一闭环对不同失败根因的迁移。</w:t>
      </w:r>
    </w:p>
    <w:p>
      <w:pPr>
        <w:pStyle w:val="ListBullet"/>
      </w:pPr>
      <w:r>
        <w:rPr>
          <w:rFonts w:ascii="Calibri" w:hAnsi="Calibri" w:eastAsia="宋体"/>
          <w:b w:val="0"/>
          <w:sz w:val="21"/>
        </w:rPr>
        <w:t>切换 Reflection SFT 与 Reflection DPO，讨论偏好优化更安全但可能更保守的权衡。</w:t>
      </w:r>
    </w:p>
    <w:p>
      <w:pPr>
        <w:jc w:val="both"/>
      </w:pPr>
      <w:r>
        <w:rPr>
          <w:rFonts w:ascii="Calibri" w:hAnsi="Calibri" w:eastAsia="宋体"/>
          <w:b w:val="0"/>
          <w:sz w:val="21"/>
        </w:rPr>
        <w:t>页面可继续手工调整速度、距离、曲率、导航和天气；修改后使用新的场景 ID，避免误命中旧缓存。服务端使用当前策略实时规划，并以规则 Critic 65%、训练后的 Reward Critic 25%、完整训练集七近邻校准 10% 计算三维分数。</w:t>
      </w:r>
      <w:r>
        <w:rPr>
          <w:rFonts w:ascii="Calibri" w:hAnsi="Calibri" w:eastAsia="等线"/>
          <w:b/>
          <w:sz w:val="19"/>
        </w:rPr>
        <w:t>/api/logs</w:t>
      </w:r>
      <w:r>
        <w:rPr>
          <w:rFonts w:ascii="Calibri" w:hAnsi="Calibri" w:eastAsia="宋体"/>
          <w:b w:val="0"/>
          <w:sz w:val="21"/>
        </w:rPr>
        <w:t xml:space="preserve"> 持续输出数据文件加载、Reward Critic 参数连接、规划调用的实际 runtime 与耗时、评分近邻和 Reflection 结果；</w:t>
      </w:r>
      <w:r>
        <w:rPr>
          <w:rFonts w:ascii="Calibri" w:hAnsi="Calibri" w:eastAsia="等线"/>
          <w:b/>
          <w:sz w:val="19"/>
        </w:rPr>
        <w:t>/api/data/status</w:t>
      </w:r>
      <w:r>
        <w:rPr>
          <w:rFonts w:ascii="Calibri" w:hAnsi="Calibri" w:eastAsia="宋体"/>
          <w:b w:val="0"/>
          <w:sz w:val="21"/>
        </w:rPr>
        <w:t>、</w:t>
      </w:r>
      <w:r>
        <w:rPr>
          <w:rFonts w:ascii="Calibri" w:hAnsi="Calibri" w:eastAsia="等线"/>
          <w:b/>
          <w:sz w:val="19"/>
        </w:rPr>
        <w:t>/api/scenarios</w:t>
      </w:r>
      <w:r>
        <w:rPr>
          <w:rFonts w:ascii="Calibri" w:hAnsi="Calibri" w:eastAsia="宋体"/>
          <w:b w:val="0"/>
          <w:sz w:val="21"/>
        </w:rPr>
        <w:t>、</w:t>
      </w:r>
      <w:r>
        <w:rPr>
          <w:rFonts w:ascii="Calibri" w:hAnsi="Calibri" w:eastAsia="等线"/>
          <w:b/>
          <w:sz w:val="19"/>
        </w:rPr>
        <w:t>/api/scenario</w:t>
      </w:r>
      <w:r>
        <w:rPr>
          <w:rFonts w:ascii="Calibri" w:hAnsi="Calibri" w:eastAsia="宋体"/>
          <w:b w:val="0"/>
          <w:sz w:val="21"/>
        </w:rPr>
        <w:t xml:space="preserve"> 提供可核验的数据连接。完整操作、字段含义和故障排查见 </w:t>
      </w:r>
      <w:r>
        <w:rPr>
          <w:rFonts w:ascii="Calibri" w:hAnsi="Calibri" w:eastAsia="等线"/>
          <w:b/>
          <w:sz w:val="19"/>
        </w:rPr>
        <w:t>docs/Demo使用说明.md</w:t>
      </w:r>
      <w:r>
        <w:rPr>
          <w:rFonts w:ascii="Calibri" w:hAnsi="Calibri" w:eastAsia="宋体"/>
          <w:b w:val="0"/>
          <w:sz w:val="21"/>
        </w:rPr>
        <w:t xml:space="preserve">；基座选择与轻量化边界见 </w:t>
      </w:r>
      <w:r>
        <w:rPr>
          <w:rFonts w:ascii="Calibri" w:hAnsi="Calibri" w:eastAsia="等线"/>
          <w:b/>
          <w:sz w:val="19"/>
        </w:rPr>
        <w:t>docs/基座模型与轻量化说明.md</w:t>
      </w:r>
      <w:r>
        <w:rPr>
          <w:rFonts w:ascii="Calibri" w:hAnsi="Calibri" w:eastAsia="宋体"/>
          <w:b w:val="0"/>
          <w:sz w:val="21"/>
        </w:rPr>
        <w:t>。</w:t>
      </w:r>
    </w:p>
    <w:p>
      <w:pPr>
        <w:jc w:val="both"/>
      </w:pPr>
      <w:r>
        <w:rPr>
          <w:rFonts w:ascii="Calibri" w:hAnsi="Calibri" w:eastAsia="宋体"/>
          <w:b w:val="0"/>
          <w:sz w:val="21"/>
        </w:rPr>
        <w:t>主要目录为：</w:t>
      </w:r>
      <w:r>
        <w:rPr>
          <w:rFonts w:ascii="Calibri" w:hAnsi="Calibri" w:eastAsia="等线"/>
          <w:b/>
          <w:sz w:val="19"/>
        </w:rPr>
        <w:t>configs/</w:t>
      </w:r>
      <w:r>
        <w:rPr>
          <w:rFonts w:ascii="Calibri" w:hAnsi="Calibri" w:eastAsia="宋体"/>
          <w:b w:val="0"/>
          <w:sz w:val="21"/>
        </w:rPr>
        <w:t xml:space="preserve"> 保存实验配置；</w:t>
      </w:r>
      <w:r>
        <w:rPr>
          <w:rFonts w:ascii="Calibri" w:hAnsi="Calibri" w:eastAsia="等线"/>
          <w:b/>
          <w:sz w:val="19"/>
        </w:rPr>
        <w:t>src/selfevolve_drive/</w:t>
      </w:r>
      <w:r>
        <w:rPr>
          <w:rFonts w:ascii="Calibri" w:hAnsi="Calibri" w:eastAsia="宋体"/>
          <w:b w:val="0"/>
          <w:sz w:val="21"/>
        </w:rPr>
        <w:t xml:space="preserve"> 保存 schema、模拟器、Planner、Critic、Reflection、训练与评估；</w:t>
      </w:r>
      <w:r>
        <w:rPr>
          <w:rFonts w:ascii="Calibri" w:hAnsi="Calibri" w:eastAsia="等线"/>
          <w:b/>
          <w:sz w:val="19"/>
        </w:rPr>
        <w:t>scripts/</w:t>
      </w:r>
      <w:r>
        <w:rPr>
          <w:rFonts w:ascii="Calibri" w:hAnsi="Calibri" w:eastAsia="宋体"/>
          <w:b w:val="0"/>
          <w:sz w:val="21"/>
        </w:rPr>
        <w:t xml:space="preserve"> 保存独立数据/训练/评估/demo 入口；</w:t>
      </w:r>
      <w:r>
        <w:rPr>
          <w:rFonts w:ascii="Calibri" w:hAnsi="Calibri" w:eastAsia="等线"/>
          <w:b/>
          <w:sz w:val="19"/>
        </w:rPr>
        <w:t>data/</w:t>
      </w:r>
      <w:r>
        <w:rPr>
          <w:rFonts w:ascii="Calibri" w:hAnsi="Calibri" w:eastAsia="宋体"/>
          <w:b w:val="0"/>
          <w:sz w:val="21"/>
        </w:rPr>
        <w:t xml:space="preserve"> 保存 5K JSONL；</w:t>
      </w:r>
      <w:r>
        <w:rPr>
          <w:rFonts w:ascii="Calibri" w:hAnsi="Calibri" w:eastAsia="等线"/>
          <w:b/>
          <w:sz w:val="19"/>
        </w:rPr>
        <w:t>models/</w:t>
      </w:r>
      <w:r>
        <w:rPr>
          <w:rFonts w:ascii="Calibri" w:hAnsi="Calibri" w:eastAsia="宋体"/>
          <w:b w:val="0"/>
          <w:sz w:val="21"/>
        </w:rPr>
        <w:t xml:space="preserve"> 保存 SFT、Reflection SFT、DPO 与 Reward Model 参数；</w:t>
      </w:r>
      <w:r>
        <w:rPr>
          <w:rFonts w:ascii="Calibri" w:hAnsi="Calibri" w:eastAsia="等线"/>
          <w:b/>
          <w:sz w:val="19"/>
        </w:rPr>
        <w:t>outputs/</w:t>
      </w:r>
      <w:r>
        <w:rPr>
          <w:rFonts w:ascii="Calibri" w:hAnsi="Calibri" w:eastAsia="宋体"/>
          <w:b w:val="0"/>
          <w:sz w:val="21"/>
        </w:rPr>
        <w:t xml:space="preserve"> 保存真实运行指标；</w:t>
      </w:r>
      <w:r>
        <w:rPr>
          <w:rFonts w:ascii="Calibri" w:hAnsi="Calibri" w:eastAsia="等线"/>
          <w:b/>
          <w:sz w:val="19"/>
        </w:rPr>
        <w:t>tests/</w:t>
      </w:r>
      <w:r>
        <w:rPr>
          <w:rFonts w:ascii="Calibri" w:hAnsi="Calibri" w:eastAsia="宋体"/>
          <w:b w:val="0"/>
          <w:sz w:val="21"/>
        </w:rPr>
        <w:t xml:space="preserve"> 保存回归测试；</w:t>
      </w:r>
      <w:r>
        <w:rPr>
          <w:rFonts w:ascii="Calibri" w:hAnsi="Calibri" w:eastAsia="等线"/>
          <w:b/>
          <w:sz w:val="19"/>
        </w:rPr>
        <w:t>references/</w:t>
      </w:r>
      <w:r>
        <w:rPr>
          <w:rFonts w:ascii="Calibri" w:hAnsi="Calibri" w:eastAsia="宋体"/>
          <w:b w:val="0"/>
          <w:sz w:val="21"/>
        </w:rPr>
        <w:t xml:space="preserve"> 保存资料清单；</w:t>
      </w:r>
      <w:r>
        <w:rPr>
          <w:rFonts w:ascii="Calibri" w:hAnsi="Calibri" w:eastAsia="等线"/>
          <w:b/>
          <w:sz w:val="19"/>
        </w:rPr>
        <w:t>report/</w:t>
      </w:r>
      <w:r>
        <w:rPr>
          <w:rFonts w:ascii="Calibri" w:hAnsi="Calibri" w:eastAsia="宋体"/>
          <w:b w:val="0"/>
          <w:sz w:val="21"/>
        </w:rPr>
        <w:t xml:space="preserve"> 保存报告。</w:t>
      </w:r>
    </w:p>
    <w:p>
      <w:pPr>
        <w:pStyle w:val="Heading1"/>
      </w:pPr>
      <w:r>
        <w:rPr>
          <w:rFonts w:ascii="Calibri" w:hAnsi="Calibri" w:eastAsia="宋体"/>
          <w:b/>
          <w:color w:val="245B8A"/>
          <w:sz w:val="32"/>
        </w:rPr>
        <w:t>7. OpenDriveVLA / nuScenes / CARLA 扩展方案</w:t>
      </w:r>
    </w:p>
    <w:p>
      <w:pPr>
        <w:jc w:val="both"/>
      </w:pPr>
      <w:r>
        <w:rPr>
          <w:rFonts w:ascii="Calibri" w:hAnsi="Calibri" w:eastAsia="宋体"/>
          <w:b w:val="0"/>
          <w:sz w:val="21"/>
        </w:rPr>
        <w:t xml:space="preserve">第一阶段接入 nuScenes：使用 OpenDriveVLA 官方数据准备脚本生成多视角视觉 token、ego state、command 和专家 waypoint；使用现有 </w:t>
      </w:r>
      <w:r>
        <w:rPr>
          <w:rFonts w:ascii="Calibri" w:hAnsi="Calibri" w:eastAsia="等线"/>
          <w:b/>
          <w:sz w:val="19"/>
        </w:rPr>
        <w:t>OpenDriveVLAAdapter</w:t>
      </w:r>
      <w:r>
        <w:rPr>
          <w:rFonts w:ascii="Calibri" w:hAnsi="Calibri" w:eastAsia="宋体"/>
          <w:b w:val="0"/>
          <w:sz w:val="21"/>
        </w:rPr>
        <w:t xml:space="preserve"> 与官方轨迹解析器返回本项目 Trajectory schema；用 nuScenes box、地图与信号标注替换合成 Scenario。第二阶段使用已交付的 </w:t>
      </w:r>
      <w:r>
        <w:rPr>
          <w:rFonts w:ascii="Calibri" w:hAnsi="Calibri" w:eastAsia="等线"/>
          <w:b/>
          <w:sz w:val="19"/>
        </w:rPr>
        <w:t>opendrivevla_peft.json</w:t>
      </w:r>
      <w:r>
        <w:rPr>
          <w:rFonts w:ascii="Calibri" w:hAnsi="Calibri" w:eastAsia="宋体"/>
          <w:b w:val="0"/>
          <w:sz w:val="21"/>
        </w:rPr>
        <w:t xml:space="preserve"> 和 </w:t>
      </w:r>
      <w:r>
        <w:rPr>
          <w:rFonts w:ascii="Calibri" w:hAnsi="Calibri" w:eastAsia="等线"/>
          <w:b/>
          <w:sz w:val="19"/>
        </w:rPr>
        <w:t>train_opendrivevla_peft.py</w:t>
      </w:r>
      <w:r>
        <w:rPr>
          <w:rFonts w:ascii="Calibri" w:hAnsi="Calibri" w:eastAsia="宋体"/>
          <w:b w:val="0"/>
          <w:sz w:val="21"/>
        </w:rPr>
        <w:t xml:space="preserve"> 执行 Baseline、普通轨迹 LoRA SFT、</w:t>
      </w:r>
      <w:r>
        <w:rPr>
          <w:rFonts w:ascii="Calibri" w:hAnsi="Calibri" w:eastAsia="等线"/>
          <w:b/>
          <w:sz w:val="19"/>
        </w:rPr>
        <w:t>输入+失败轨迹+Reflection→纠正轨迹</w:t>
      </w:r>
      <w:r>
        <w:rPr>
          <w:rFonts w:ascii="Calibri" w:hAnsi="Calibri" w:eastAsia="宋体"/>
          <w:b w:val="0"/>
          <w:sz w:val="21"/>
        </w:rPr>
        <w:t xml:space="preserve"> Reflection SFT，并从同场景候选轨迹构造标准 DPO 对。第三阶段接入 CARLA/Bench2Drive 闭环，测量实际碰撞率、红灯/停车牌违章、路线完成率、加速度、jerk 和闭环驾驶分数。</w:t>
      </w:r>
    </w:p>
    <w:p>
      <w:pPr>
        <w:jc w:val="both"/>
      </w:pPr>
      <w:r>
        <w:rPr>
          <w:rFonts w:ascii="Calibri" w:hAnsi="Calibri" w:eastAsia="宋体"/>
          <w:b w:val="0"/>
          <w:sz w:val="21"/>
        </w:rPr>
        <w:t>LLM Critic 的线上实验需固定模型版本、temperature=0、JSON schema、重试策略和原始响应缓存；至少抽样 200 条由两名人工标注者复核，报告安全/规则/舒适三维相关系数、严重失败召回率、Cohen's κ 或 Krippendorff's α。Reward Model 应从线性基线升级为能处理视觉与轨迹 token 的模型，并保留规则硬约束作为安全兜底。</w:t>
      </w:r>
    </w:p>
    <w:p>
      <w:pPr>
        <w:pStyle w:val="Heading1"/>
      </w:pPr>
      <w:r>
        <w:rPr>
          <w:rFonts w:ascii="Calibri" w:hAnsi="Calibri" w:eastAsia="宋体"/>
          <w:b/>
          <w:color w:val="245B8A"/>
          <w:sz w:val="32"/>
        </w:rPr>
        <w:t>8. 局限、风险与伦理</w:t>
      </w:r>
    </w:p>
    <w:p>
      <w:pPr>
        <w:jc w:val="both"/>
      </w:pPr>
      <w:r>
        <w:rPr>
          <w:rFonts w:ascii="Calibri" w:hAnsi="Calibri" w:eastAsia="宋体"/>
          <w:b w:val="0"/>
          <w:sz w:val="21"/>
        </w:rPr>
        <w:t>本项目已下载并核验 gated OpenDriveVLA-0.5B checkpoint 和官方代码，但尚未下载 nuScenes 完整数据，也未在真实车辆或 CARLA 闭环中训练。Windows 轻量 Planner 不处理原始多相机图像，因而当前结果是以冻结基座资产、标准轨迹格式和统一适配接口为约束的轻量自进化实验，而非官方 OpenDriveVLA 视觉性能复现。LLM Critic 可能产生貌似合理但错误的解释，Reward Model 可能被策略钻空子，自训练还可能放大自身偏差。因此任何自动反思样本都必须经过规则门槛、置信过滤、分布监控与人工抽检；真实车辆部署必须保留独立安全层、故障回退和版本回滚，禁止未经闭环仿真和安全审查直接上车。</w:t>
      </w:r>
    </w:p>
    <w:p>
      <w:pPr>
        <w:pStyle w:val="Heading1"/>
      </w:pPr>
      <w:r>
        <w:rPr>
          <w:rFonts w:ascii="Calibri" w:hAnsi="Calibri" w:eastAsia="宋体"/>
          <w:b/>
          <w:color w:val="245B8A"/>
          <w:sz w:val="32"/>
        </w:rPr>
        <w:t>9. 结论</w:t>
      </w:r>
    </w:p>
    <w:p>
      <w:pPr>
        <w:jc w:val="both"/>
      </w:pPr>
      <w:r>
        <w:rPr>
          <w:rFonts w:ascii="Calibri" w:hAnsi="Calibri" w:eastAsia="宋体"/>
          <w:b w:val="0"/>
          <w:sz w:val="21"/>
        </w:rPr>
        <w:t>本文完成了课程要求的四大核心模块、全套脚本、5K 数据、三类 Critic、四种策略、三轮持续自进化、未见场景评估和可交互 Demo。轻量实验证明，结构化 Reflection 可以把失败证据转为具有训练价值的纠正信号；普通 SFT 提供主要能力提升，Reflection 加权、失败经验回放与 DPO 对安全长尾有额外收益。项目以已下载并核验的 OpenDriveVLA-0.5B 为冻结基座资产，交付了 LoRA SFT、Reflection SFT、DPO 的数据、配置、环境校验和训练入口；Windows 现场版本通过明确披露的 CPU 回退保障稳定运行。后续只需在 Linux/CUDA 和 nuScenes 条件下执行同一训练入口、导入真实轨迹缓存并补充官方指标，无需重写 Critic、Reflection、数据 schema 或 Demo。</w:t>
      </w:r>
    </w:p>
    <w:p>
      <w:pPr>
        <w:pStyle w:val="Heading1"/>
      </w:pPr>
      <w:r>
        <w:rPr>
          <w:rFonts w:ascii="Calibri" w:hAnsi="Calibri" w:eastAsia="宋体"/>
          <w:b/>
          <w:color w:val="245B8A"/>
          <w:sz w:val="32"/>
        </w:rPr>
        <w:t>参考文献与代码</w:t>
      </w:r>
    </w:p>
    <w:p>
      <w:pPr>
        <w:spacing w:after="100"/>
        <w:ind w:left="403" w:hanging="403"/>
      </w:pPr>
      <w:r>
        <w:rPr>
          <w:rFonts w:ascii="Calibri" w:hAnsi="Calibri" w:eastAsia="宋体"/>
          <w:b w:val="0"/>
          <w:sz w:val="19"/>
        </w:rPr>
        <w:t>[1] Zhou X. et al. OpenDriveVLA: Towards End-to-end Autonomous Driving with Large Vision Language Action Model. arXiv:2503.23463, 2025. https://arxiv.org/abs/2503.23463</w:t>
      </w:r>
    </w:p>
    <w:p>
      <w:pPr>
        <w:spacing w:after="100"/>
        <w:ind w:left="403" w:hanging="403"/>
      </w:pPr>
      <w:r>
        <w:rPr>
          <w:rFonts w:ascii="Calibri" w:hAnsi="Calibri" w:eastAsia="宋体"/>
          <w:b w:val="0"/>
          <w:sz w:val="19"/>
        </w:rPr>
        <w:t>[2] Hu Y. et al. Planning-oriented Autonomous Driving (UniAD). arXiv:2212.10156, 2022. https://arxiv.org/abs/2212.10156</w:t>
      </w:r>
    </w:p>
    <w:p>
      <w:pPr>
        <w:spacing w:after="100"/>
        <w:ind w:left="403" w:hanging="403"/>
      </w:pPr>
      <w:r>
        <w:rPr>
          <w:rFonts w:ascii="Calibri" w:hAnsi="Calibri" w:eastAsia="宋体"/>
          <w:b w:val="0"/>
          <w:sz w:val="19"/>
        </w:rPr>
        <w:t>[3] Zheng W. et al. DriveAgent-R1: Advancing VLM-based Autonomous Driving with Active Perception and Hybrid Thinking. arXiv:2507.20879, 2025. https://arxiv.org/abs/2507.20879</w:t>
      </w:r>
    </w:p>
    <w:p>
      <w:pPr>
        <w:spacing w:after="100"/>
        <w:ind w:left="403" w:hanging="403"/>
      </w:pPr>
      <w:r>
        <w:rPr>
          <w:rFonts w:ascii="Calibri" w:hAnsi="Calibri" w:eastAsia="宋体"/>
          <w:b w:val="0"/>
          <w:sz w:val="19"/>
        </w:rPr>
        <w:t>[4] NVIDIA. Alpamayo-R1: Bridging Reasoning and Action Prediction for Generalizable Autonomous Driving in the Long Tail. arXiv:2511.00088, 2025. https://arxiv.org/abs/2511.00088</w:t>
      </w:r>
    </w:p>
    <w:p>
      <w:pPr>
        <w:spacing w:after="100"/>
        <w:ind w:left="403" w:hanging="403"/>
      </w:pPr>
      <w:r>
        <w:rPr>
          <w:rFonts w:ascii="Calibri" w:hAnsi="Calibri" w:eastAsia="宋体"/>
          <w:b w:val="0"/>
          <w:sz w:val="19"/>
        </w:rPr>
        <w:t>[5] Mao J. et al. A Language Agent for Autonomous Driving. arXiv:2311.10813, 2023. https://arxiv.org/abs/2311.10813</w:t>
      </w:r>
    </w:p>
    <w:p>
      <w:pPr>
        <w:spacing w:after="100"/>
        <w:ind w:left="403" w:hanging="403"/>
      </w:pPr>
      <w:r>
        <w:rPr>
          <w:rFonts w:ascii="Calibri" w:hAnsi="Calibri" w:eastAsia="宋体"/>
          <w:b w:val="0"/>
          <w:sz w:val="19"/>
        </w:rPr>
        <w:t>[6] DeepSeek-AI. DeepSeek-R1: Incentivizing Reasoning Capability in LLMs via Reinforcement Learning. arXiv:2501.12948, 2025. https://arxiv.org/abs/2501.12948</w:t>
      </w:r>
    </w:p>
    <w:p>
      <w:pPr>
        <w:spacing w:after="100"/>
        <w:ind w:left="403" w:hanging="403"/>
      </w:pPr>
      <w:r>
        <w:rPr>
          <w:rFonts w:ascii="Calibri" w:hAnsi="Calibri" w:eastAsia="宋体"/>
          <w:b w:val="0"/>
          <w:sz w:val="19"/>
        </w:rPr>
        <w:t>[7] OpenDriveLab. DriveLM. https://github.com/OpenDriveLab/DriveLM</w:t>
      </w:r>
    </w:p>
    <w:p>
      <w:pPr>
        <w:spacing w:after="100"/>
        <w:ind w:left="403" w:hanging="403"/>
      </w:pPr>
      <w:r>
        <w:rPr>
          <w:rFonts w:ascii="Calibri" w:hAnsi="Calibri" w:eastAsia="宋体"/>
          <w:b w:val="0"/>
          <w:sz w:val="19"/>
        </w:rPr>
        <w:t>[8] NVIDIA. Alpamayo 1.5. https://github.com/NVlabs/alpamayo1.5</w:t>
      </w:r>
    </w:p>
    <w:p>
      <w:pPr>
        <w:spacing w:after="100"/>
        <w:ind w:left="403" w:hanging="403"/>
      </w:pPr>
      <w:r>
        <w:rPr>
          <w:rFonts w:ascii="Calibri" w:hAnsi="Calibri" w:eastAsia="宋体"/>
          <w:b w:val="0"/>
          <w:sz w:val="19"/>
        </w:rPr>
        <w:t>[9] Physical Superintelligence Lab. Agent-Driver. https://github.com/physical-superintelligence-lab/Agent-Driver</w:t>
      </w:r>
    </w:p>
    <w:p>
      <w:pPr>
        <w:spacing w:after="100"/>
        <w:ind w:left="403" w:hanging="403"/>
      </w:pPr>
      <w:r>
        <w:rPr>
          <w:rFonts w:ascii="Calibri" w:hAnsi="Calibri" w:eastAsia="宋体"/>
          <w:b w:val="0"/>
          <w:sz w:val="19"/>
        </w:rPr>
        <w:t>[10] Zheng W. DriveAgent-R1 code. https://github.com/wczheng/DriveAgent-R1</w:t>
      </w:r>
    </w:p>
    <w:p>
      <w:pPr>
        <w:spacing w:after="100"/>
        <w:ind w:left="403" w:hanging="403"/>
      </w:pPr>
      <w:r>
        <w:rPr>
          <w:rFonts w:ascii="Calibri" w:hAnsi="Calibri" w:eastAsia="宋体"/>
          <w:b w:val="0"/>
          <w:sz w:val="19"/>
        </w:rPr>
        <w:t>[11] DriveVLA. OpenDriveVLA code. https://github.com/DriveVLA/OpenDriveVLA</w:t>
      </w:r>
    </w:p>
    <w:p>
      <w:pPr>
        <w:pStyle w:val="Heading1"/>
      </w:pPr>
      <w:r>
        <w:rPr>
          <w:rFonts w:ascii="Calibri" w:hAnsi="Calibri" w:eastAsia="宋体"/>
          <w:b/>
          <w:color w:val="245B8A"/>
          <w:sz w:val="32"/>
        </w:rPr>
        <w:t>附录 A：交付验收矩阵</w:t>
      </w:r>
    </w:p>
    <w:tbl>
      <w:tblPr>
        <w:jc w:val="left"/>
        <w:tblLayout w:type="fixed"/>
        <w:tblLook w:firstColumn="1" w:firstRow="1" w:lastColumn="0" w:lastRow="0" w:noHBand="0" w:noVBand="1" w:val="04A0"/>
        <w:tblW w:w="9360" w:type="dxa"/>
        <w:tblInd w:w="120" w:type="dxa"/>
      </w:tblPr>
      <w:tblGrid>
        <w:gridCol w:w="2250"/>
        <w:gridCol w:w="5550"/>
        <w:gridCol w:w="1560"/>
      </w:tblGrid>
      <w:tr>
        <w:trPr>
          <w:cantSplit/>
          <w:tblHeader w:val="true"/>
        </w:trPr>
        <w:tc>
          <w:tcPr>
            <w:tcW w:type="dxa" w:w="2250"/>
            <w:vAlign w:val="center"/>
            <w:tcMar>
              <w:top w:w="80" w:type="dxa"/>
              <w:start w:w="120" w:type="dxa"/>
              <w:bottom w:w="80" w:type="dxa"/>
              <w:end w:w="120" w:type="dxa"/>
            </w:tcMar>
            <w:shd w:fill="EAF1F7"/>
          </w:tcPr>
          <w:p>
            <w:pPr>
              <w:keepNext/>
              <w:spacing w:after="0" w:line="240" w:lineRule="auto"/>
              <w:jc w:val="center"/>
            </w:pPr>
            <w:r/>
            <w:r>
              <w:rPr>
                <w:rFonts w:ascii="Calibri" w:hAnsi="Calibri" w:eastAsia="微软雅黑"/>
                <w:b/>
                <w:color w:val="163A5F"/>
                <w:sz w:val="17"/>
              </w:rPr>
              <w:t>要求</w:t>
            </w:r>
          </w:p>
        </w:tc>
        <w:tc>
          <w:tcPr>
            <w:tcW w:type="dxa" w:w="5550"/>
            <w:vAlign w:val="center"/>
            <w:tcMar>
              <w:top w:w="80" w:type="dxa"/>
              <w:start w:w="120" w:type="dxa"/>
              <w:bottom w:w="80" w:type="dxa"/>
              <w:end w:w="120" w:type="dxa"/>
            </w:tcMar>
            <w:shd w:fill="EAF1F7"/>
          </w:tcPr>
          <w:p>
            <w:pPr>
              <w:keepNext/>
              <w:spacing w:after="0" w:line="240" w:lineRule="auto"/>
              <w:jc w:val="center"/>
            </w:pPr>
            <w:r/>
            <w:r>
              <w:rPr>
                <w:rFonts w:ascii="Calibri" w:hAnsi="Calibri" w:eastAsia="微软雅黑"/>
                <w:b/>
                <w:color w:val="163A5F"/>
                <w:sz w:val="17"/>
              </w:rPr>
              <w:t>实现证据</w:t>
            </w:r>
          </w:p>
        </w:tc>
        <w:tc>
          <w:tcPr>
            <w:tcW w:type="dxa" w:w="1560"/>
            <w:vAlign w:val="center"/>
            <w:tcMar>
              <w:top w:w="80" w:type="dxa"/>
              <w:start w:w="120" w:type="dxa"/>
              <w:bottom w:w="80" w:type="dxa"/>
              <w:end w:w="120" w:type="dxa"/>
            </w:tcMar>
            <w:shd w:fill="EAF1F7"/>
          </w:tcPr>
          <w:p>
            <w:pPr>
              <w:keepNext/>
              <w:spacing w:after="0" w:line="240" w:lineRule="auto"/>
              <w:jc w:val="center"/>
            </w:pPr>
            <w:r/>
            <w:r>
              <w:rPr>
                <w:rFonts w:ascii="Calibri" w:hAnsi="Calibri" w:eastAsia="微软雅黑"/>
                <w:b/>
                <w:color w:val="163A5F"/>
                <w:sz w:val="17"/>
              </w:rPr>
              <w:t>状态</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5K～10K 反思数据</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data/reflection_dataset.jsonl，实际 5,000 条</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自动生成与质量过滤</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pipeline.py、质量阈值与 accepted 字段</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Safety/Rule/Comfort</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critics.py 三维评分及证据</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Rule/LLM/Reward Model</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三类 Critic 与统计对比</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完成；LLM 默认离线代理</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Baseline/SFT/Reflection SFT</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三组模型及未见场景结果</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Reflection+DPO/GRPO</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DPO 轻量实现；GRPO 方案说明</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DPO 完成，GRPO 为扩展</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碰撞/违章/舒适评估</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outputs/metrics.json</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完成（合成代理）</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失败原因定位</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五类 failure 标签与 evidence</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泛化能力</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1,000 条含夜间/高曲率未见场景</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完成（结构化代理）</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全套脚本和配置</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scripts/、configs/default.json</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一键复现</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scripts/run_all.py</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现场 Demo</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scripts/run_demo.py + 网页</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真实场景可视化</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双策略动态轨迹、信号灯/行人/前车、反思时间线</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完成（开放环模拟）</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必要基座</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OpenDriveVLA-0.5B checkpoint 与官方代码已下载并通过结构审计</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完成（冻结基座资产）</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多轮自进化</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三轮 rollout→Critic→Reflection→记忆回放；835 条经验记忆</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完成（轻量实验）</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OpenDriveVLA 训练数据</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SFT 1813、Reflection SFT 1813、DPO 1112 对</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完成（轻量数据）</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LoRA/PEFT 训练代码</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train_opendrivevla_peft.py 与配置；Windows 可 check-only</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完成代码；GPU 执行为扩展</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使用文档</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docs/Demo使用说明.md、docs/基座模型与轻量化说明.md</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r>
        <w:trPr>
          <w:cantSplit/>
        </w:trPr>
        <w:tc>
          <w:tcPr>
            <w:tcW w:type="dxa" w:w="22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自动测试</w:t>
            </w:r>
          </w:p>
        </w:tc>
        <w:tc>
          <w:tcPr>
            <w:tcW w:type="dxa" w:w="5550"/>
            <w:vAlign w:val="center"/>
            <w:tcMar>
              <w:top w:w="80" w:type="dxa"/>
              <w:start w:w="120" w:type="dxa"/>
              <w:bottom w:w="80" w:type="dxa"/>
              <w:end w:w="120" w:type="dxa"/>
            </w:tcMar>
          </w:tcPr>
          <w:p>
            <w:pPr>
              <w:spacing w:after="0" w:line="240" w:lineRule="auto"/>
              <w:jc w:val="left"/>
            </w:pPr>
            <w:r/>
            <w:r>
              <w:rPr>
                <w:rFonts w:ascii="Calibri" w:hAnsi="Calibri" w:eastAsia="宋体"/>
                <w:b w:val="0"/>
                <w:sz w:val="17"/>
              </w:rPr>
              <w:t>tests/test_core.py</w:t>
            </w:r>
          </w:p>
        </w:tc>
        <w:tc>
          <w:tcPr>
            <w:tcW w:type="dxa" w:w="1560"/>
            <w:vAlign w:val="center"/>
            <w:tcMar>
              <w:top w:w="80" w:type="dxa"/>
              <w:start w:w="120" w:type="dxa"/>
              <w:bottom w:w="80" w:type="dxa"/>
              <w:end w:w="120" w:type="dxa"/>
            </w:tcMar>
          </w:tcPr>
          <w:p>
            <w:pPr>
              <w:spacing w:after="0" w:line="240" w:lineRule="auto"/>
              <w:jc w:val="center"/>
            </w:pPr>
            <w:r/>
            <w:r>
              <w:rPr>
                <w:rFonts w:ascii="Calibri" w:hAnsi="Calibri" w:eastAsia="宋体"/>
                <w:b w:val="0"/>
                <w:sz w:val="17"/>
              </w:rPr>
              <w:t>完成</w:t>
            </w:r>
          </w:p>
        </w:tc>
      </w:tr>
    </w:tbl>
    <w:p>
      <w:pPr>
        <w:spacing w:after="2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8"/>
      </w:rPr>
      <w:t xml:space="preserve">— </w:t>
    </w:r>
    <w:r>
      <w:fldChar w:fldCharType="begin"/>
      <w:instrText xml:space="preserve">PAGE</w:instrText>
      <w:fldChar w:fldCharType="separate"/>
      <w:t>1</w:t>
      <w:fldChar w:fldCharType="end"/>
    </w:r>
    <w:r>
      <w:rPr>
        <w:rFonts w:ascii="Calibri" w:hAnsi="Calibri" w:eastAsia="Calibri"/>
        <w:color w:val="667085"/>
        <w:sz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b w:val="0"/>
        <w:color w:val="667085"/>
        <w:sz w:val="18"/>
      </w:rPr>
      <w:t>自动驾驶 VLA 自进化研究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微软雅黑" w:hAnsi="微软雅黑" w:eastAsia="微软雅黑"/>
      <w:b/>
      <w:bCs/>
      <w:color w:val="245B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245B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宋体" w:hAnsi="宋体"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基于自我反思与 Critic 反馈的自动驾驶视觉语言动作模型自进化研究</dc:title>
  <dc:subject>课程实践选题4项目报告</dc:subject>
  <dc:creator>课程项目组</dc:creator>
  <cp:keywords>VLA, Driving Reflection, Critic, Self-Evolution</cp:keywords>
  <dc:description>generated by python-docx</dc:description>
  <cp:lastModifiedBy/>
  <cp:revision>1</cp:revision>
  <dcterms:created xsi:type="dcterms:W3CDTF">2013-12-23T23:15:00Z</dcterms:created>
  <dcterms:modified xsi:type="dcterms:W3CDTF">2013-12-23T23:15:00Z</dcterms:modified>
  <cp:category/>
</cp:coreProperties>
</file>