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20"/>
      </w:pPr>
      <w:r>
        <w:t xml:space="preserve">UC-10 — VMware to OpenShift Virtualization Migration (VM Migration Agent)</w:t>
      </w:r>
    </w:p>
    <w:p>
      <w:pPr>
        <w:spacing w:after="120"/>
      </w:pPr>
      <w:r>
        <w:rPr>
          <w:i w:val="false"/>
          <w:iCs w:val="false"/>
        </w:rPr>
        <w:t xml:space="preserve">TCS Agentic AI for Hybrid Infrastructure · Virtualization Operations</w:t>
      </w:r>
    </w:p>
    <w:p>
      <w:pPr>
        <w:spacing w:after="120"/>
      </w:pPr>
      <w:r>
        <w:rPr>
          <w:i w:val="false"/>
          <w:iCs w:val="false"/>
        </w:rPr>
        <w:t xml:space="preserve">Assess before you move. The agent runs inside the destination, so it can answer the one question no external assessment tool can: will this VM actually run when it lands?</w:t>
      </w:r>
    </w:p>
    <w:p>
      <w:pPr>
        <w:spacing w:after="120"/>
      </w:pPr>
      <w:r>
        <w:rPr>
          <w:i w:val="false"/>
          <w:iCs w:val="false"/>
        </w:rPr>
        <w:t xml:space="preserve">A vCenter estate is discovered, assessed against Red Hat's certified guest list and the target cluster's real capacity, grouped into waves, governed through a ServiceNow change record, and migrated with the Migration Toolkit for Virtualization — with a measured ETA while bytes move and a rollback that never touches the source.</w:t>
      </w:r>
    </w:p>
    <w:p>
      <w:pPr>
        <w:pStyle w:val="Heading2"/>
        <w:spacing w:after="120" w:before="220"/>
      </w:pPr>
      <w:r>
        <w:t xml:space="preserve">1. Demo description (short)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 case ID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UC-10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VMware → OpenShift Virtualization migration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Trigger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Human-initiated: choose a source provider, discover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Input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vCenter (or oVirt/OpenStack/OVA) provider registered in MTV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Output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Assessed estate, evidence pack, approved change record, migrated and verified VMs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 time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6–8 minutes (assessment) · plus transfer time for a live migration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Prerequisite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MTV/Forklift installed, provider connected, storage + network maps defined</w:t>
            </w:r>
          </w:p>
        </w:tc>
      </w:tr>
    </w:tbl>
    <w:p/>
    <w:p>
      <w:pPr>
        <w:pStyle w:val="Heading2"/>
        <w:spacing w:after="120" w:before="220"/>
      </w:pPr>
      <w:r>
        <w:t xml:space="preserve">2. Who does what — actor 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Colour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🟣 Purple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Agentic AI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 LLM reasons about strategy, sequencing and risk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🔵 Blue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Deterministic automation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Same input → same output, no model in the loop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🟡 Amber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Human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Reviews, decides, approves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🟢 Green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Verified outcome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Measured against the live cluster, not assumed</w:t>
            </w:r>
          </w:p>
        </w:tc>
      </w:tr>
    </w:tbl>
    <w:p/>
    <w:p>
      <w:pPr>
        <w:pStyle w:val="Heading2"/>
        <w:spacing w:after="120" w:before="220"/>
      </w:pPr>
      <w:r>
        <w:t xml:space="preserve">3. Master workflow — colour-coded by actor</w:t>
      </w:r>
    </w:p>
    <w:p>
      <w:pPr>
        <w:spacing w:after="120"/>
      </w:pPr>
      <w:r>
        <w:rPr>
          <w:i/>
          <w:iCs/>
        </w:rPr>
        <w:t xml:space="preserve">(Interactive diagram — see the .md version of this document, which renders it natively in GitHub and the console.)</w:t>
      </w:r>
    </w:p>
    <w:p>
      <w:pPr>
        <w:pStyle w:val="Heading2"/>
        <w:spacing w:after="120" w:before="220"/>
      </w:pPr>
      <w:r>
        <w:t xml:space="preserve">4. Where the agentic AI actually is — an honest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 this actor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Guest OS classification &amp; support verdict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🔵 Deterministic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support statement is a fact about Red Hat's list, not an opinion. A model would paraphrase it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Source-side readiness (15 checks)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🔵 Deterministic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"Does this VM have an RDM" has one right answer, and it decides whether a migration fails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 capacity &amp; node fit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🔵 Deterministic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Arithmetic against live node allocatable. Generated capacity figures would be worthless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**Warm vs cold, per VM**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🟣 **Agentic AI**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judgement call: downtime traded against transfer complexity, weighed against what the machine does and when the window is. This is reasoning, not a rule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Wave sequencing &amp; risk advice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🟣 Agentic AI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Which group to move first, what to pilot, what to hold back — on top of deterministic findings it may not contradict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Move-together grouping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🔵 Deterministic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Inference from addresses, names, folders and datastores — labelled as inference, evidence always shown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Transfer estimate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🔵 Measured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From migrations this cluster has already completed, then replaced by live bytes-moved once the transfer starts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Change governance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🔵 Automatic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platform authors the CR — implementation, backout, test plan, and the outage the CAB is approving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irreversible click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🟡 Human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 and Migrate stay human. The AI narrows the decision; it does not take it</w:t>
            </w:r>
          </w:p>
        </w:tc>
      </w:tr>
    </w:tbl>
    <w:p/>
    <w:p>
      <w:pPr>
        <w:spacing w:after="120"/>
      </w:pPr>
      <w:r>
        <w:rPr>
          <w:i w:val="false"/>
          <w:iCs w:val="false"/>
        </w:rPr>
        <w:t xml:space="preserve">The contract everywhere: the model advises, code decides. A warm recommendation for a VM without changed block tracking is downgraded by clampAdvice() before it can reach a plan. A model claiming a cold migration stays online is overruled by powerPlan(). Neither ever sees a manifest.</w:t>
      </w:r>
    </w:p>
    <w:p>
      <w:pPr>
        <w:pStyle w:val="Heading2"/>
        <w:spacing w:after="120" w:before="220"/>
      </w:pPr>
      <w:r>
        <w:t xml:space="preserve">5. What makes this different from MTV alone</w:t>
      </w:r>
    </w:p>
    <w:p>
      <w:pPr>
        <w:spacing w:after="120"/>
      </w:pPr>
      <w:r>
        <w:rPr>
          <w:i w:val="false"/>
          <w:iCs w:val="false"/>
        </w:rPr>
        <w:t xml:space="preserve">MTV is the transfer engine and it is excellent at that. Everything below is absent from it, and most of it is absent from the external assessment tools too — because they read the source and this agent runs inside the destination.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MTV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External assessment tools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UC-10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Guest OS vs Red Hat's certified list, with tier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Partial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Certified / vendor supported / known to run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Will the VM SCHEDULE on the target?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Cannot see the target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Blocks a VM bigger than every node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Reservations lost on migration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52 vCPU → 5.2 cores requested, named per VM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What to change, per machine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Concerns, no fixes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Generic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"Upgrade to Windows Server 2022", "enable CBT"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Measured transfer time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Vendor figures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From this cluster's own history, then live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 pack for the CAB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Report ID, matrix version, HTML + CSV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Drift since the last assessment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Rare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Improved / regressed / added / gone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Move-together groups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Dependency mapping (agents)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Agentless inference, evidence shown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 gate before data moves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Held on the Plan, re-read server-side</w:t>
            </w:r>
          </w:p>
        </w:tc>
      </w:tr>
    </w:tbl>
    <w:p/>
    <w:p>
      <w:pPr>
        <w:pStyle w:val="Heading3"/>
        <w:spacing w:after="120" w:before="220"/>
      </w:pPr>
      <w:r>
        <w:t xml:space="preserve">The check nobody else makes</w:t>
      </w:r>
    </w:p>
    <w:p>
      <w:pPr>
        <w:spacing w:after="120"/>
      </w:pPr>
      <w:r>
        <w:rPr>
          <w:i w:val="false"/>
          <w:iCs w:val="false"/>
        </w:rPr>
        <w:t xml:space="preserve">A KubeVirt VM is a pod, so it must fit on ONE node. A 64 GiB guest does not run on 32 GiB workers, however much RAM the cluster has in total. MTV validates the plan, copies every byte correctly, creates the VirtualMachine — and it sits Pending forever, after the outage has already been spent.</w:t>
      </w:r>
    </w:p>
    <w:p>
      <w:pPr>
        <w:spacing w:after="120"/>
      </w:pPr>
      <w:r>
        <w:rPr>
          <w:i w:val="false"/>
          <w:iCs w:val="false"/>
        </w:rPr>
        <w:t xml:space="preserve">The agent blocks that at assessment time, and separates "can never schedule" (needs hardware) from "no room today" (needs a window). It counts only nodes that are Ready, uncordoned and labelled kubevirt.io/schedulable=true, because a node without virt-handler has RAM the cluster can use and a VM cannot.</w:t>
      </w:r>
    </w:p>
    <w:p>
      <w:pPr>
        <w:pStyle w:val="Heading2"/>
        <w:spacing w:after="120" w:before="220"/>
      </w:pPr>
      <w:r>
        <w:t xml:space="preserve">6. Architecture</w:t>
      </w:r>
    </w:p>
    <w:p>
      <w:pPr>
        <w:spacing w:after="120"/>
      </w:pPr>
      <w:r>
        <w:rPr>
          <w:i/>
          <w:iCs/>
        </w:rPr>
        <w:t xml:space="preserve">(Interactive diagram — see the .md version of this document, which renders it natively in GitHub and the console.)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vm-migration.js `discoverVMs`, `normaliseInventoryVM`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Decodes vSphere guestIds — `windows2019srvNext_64Guest` is Server **2022**, not 2019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Support matrix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`SUPPORT_MATRIX`, `classifyGuestOS`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 Hat article 4234591; three tiers; stamped with the date it was read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 readiness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source-readiness.js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 checks; a check with no data is reported unchecked, never as a pass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 capacity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target-capacity.js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 allocatable minus pod requests; virt-schedulable nodes only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Resource fidelity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resource-fidelity.js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vCPU → CPU request at the cluster's overcommit ratio; reservations lost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Move-together groups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affinity.js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Folder alone is enough; anything else needs two signals agreeing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Drift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assessment-store.js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Baseline per provider in one ConfigMap; pure diff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 pack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assessment-report.js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Pure string generation — no runtime library dependency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 builder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`planGroups`, `buildPlanManifest`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Groups by the five dimensions MTV forces, plus OS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 gate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`approvalGate`, `raiseMigrationCR`, `checkMigrationApproval`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Annotations on the Plan; survives a restart and a different operator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 ETA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`liveEta`, `recordProgressSample`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Measured from bytes moving; says "stalled" rather than growing a number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Rollback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`rollbackPlan`, `rollbackMigration`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Deletes target VMs; **the source is never deleted**</w:t>
            </w:r>
          </w:p>
        </w:tc>
      </w:tr>
    </w:tbl>
    <w:p/>
    <w:p>
      <w:pPr>
        <w:pStyle w:val="Heading2"/>
        <w:spacing w:after="120" w:before="220"/>
      </w:pPr>
      <w:r>
        <w:t xml:space="preserve">7. The four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 operator does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 agent does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Discover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Choose the source provider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Read-only inventory: OS, IPs, vCPU, RAM, per-disk detail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 Analyse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 the report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Assess every VM: matrix, 15 source checks, capacity, fidelity, drift; recommend a method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Select &amp; strategy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Tick the wave, set warm/cold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Pre-tick what can go; warn on split groups; offer only workable options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Plan &amp; migrate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Approve, then migrate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Estimate, group, raise the CR, gate on approval, transfer, verify, roll back</w:t>
            </w:r>
          </w:p>
        </w:tc>
      </w:tr>
    </w:tbl>
    <w:p/>
    <w:p>
      <w:pPr>
        <w:spacing w:after="120"/>
      </w:pPr>
      <w:r>
        <w:rPr>
          <w:i w:val="false"/>
          <w:iCs w:val="false"/>
        </w:rPr>
        <w:t xml:space="preserve">Discovery is deliberately read-only and strategy is chosen at the end: picking warm or cold before you know whether a VM is even supported is a decision made in the dark.</w:t>
      </w:r>
    </w:p>
    <w:p>
      <w:pPr>
        <w:pStyle w:val="Heading2"/>
        <w:spacing w:after="120" w:before="220"/>
      </w:pPr>
      <w:r>
        <w:t xml:space="preserve">8. Governance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Change record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Raised per Plan, quoting **that plan's** footprint, transfer time and downtime — not the wave's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 gate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Annotations on the Forklift Plan. `startMigration` re-reads them every call: an enabled button is not authorisation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Durability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 survives a pod restart, a browser refresh and a different operator tomorrow, and is visible in `oc get plan -o yaml`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Override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`MIGRATION_REQUIRE_APPROVAL=false` — deliberate, named, and off by default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Rollback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Deletes only what the migration created. Source VMs are never deleted and can be powered back on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Every assessment has a quotable report ID, a timestamp, the matrix version and the operator</w:t>
            </w:r>
          </w:p>
        </w:tc>
      </w:tr>
    </w:tbl>
    <w:p/>
    <w:p>
      <w:pPr>
        <w:pStyle w:val="Heading2"/>
        <w:spacing w:after="120" w:before="220"/>
      </w:pPr>
      <w:r>
        <w:t xml:space="preserve">9. Business value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Manual baseline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UC-10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Assess 100 VMs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Days of spreadsheet work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Minutes, repeatable, with an exported register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"Will it run when it lands?"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Discovered after the outage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Answered before the wave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Post-migration performance surprises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ticket three weeks later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Named per VM at assessment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Answer to "why was this moved unsupported?"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Archaeology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Report ID, matrix version, tier, and the operator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Estimate quality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vendor number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This cluster's own throughput, then live bytes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Assessment freshness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Stale in weeks, silently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Drift report on every run</w:t>
            </w:r>
          </w:p>
        </w:tc>
      </w:tr>
    </w:tbl>
    <w:p/>
    <w:p>
      <w:pPr>
        <w:pStyle w:val="Heading2"/>
        <w:spacing w:after="120" w:before="220"/>
      </w:pPr>
      <w:r>
        <w:t xml:space="preserve">10. Demo script (7 minutes)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Beat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Say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0–1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1, Discover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"Read-only. Fourteen VMs, and note the Guest OS column — vCenter reports `windows2019srvNext_64Guest`; that is VMware's id for Server **2022**. Read it literally and your whole Windows estate lands in 'needs review'."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1–3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2, the report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"Every VM assessed, not the ones I already chose. Rings by OS family. Red Hat's three tiers — certified, vendor supported, known to run. And 'Will it fit?' — this machine needs 64 GiB and the biggest node has 48. MTV would have copied 200 GiB and left it Pending."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Expand a row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"Fifteen source checks per machine, each with its own fix. And '15 of 15 ran' — where the inventory tells us nothing we say so, rather than calling it a pass."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4–5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Resource guarantees + export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"52 vCPU becomes 5.2 cores requested. The guests still see 52; the scheduler does not. Three VMs lose a reservation they have today. Then: evidence pack for the change board."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3, choose the wave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"Pick two of the three ShopApp machines and it says db01 would stay on VMware — MTV has no idea these are one system."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6–7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4, plan → CR → migrate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"Windows and Linux never share a plan. The estimate comes from this cluster's own history. Change request raised, held on the Plan itself — Migrate stays disabled until the CAB says yes. And if it goes wrong: roll back. The source VMs were never deleted."</w:t>
            </w:r>
          </w:p>
        </w:tc>
      </w:tr>
    </w:tbl>
    <w:p/>
    <w:p>
      <w:pPr>
        <w:pStyle w:val="Heading2"/>
        <w:spacing w:after="120" w:before="220"/>
      </w:pPr>
      <w:r>
        <w:t xml:space="preserve">11. Verification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Claim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vSphere guestId decoding (incl. the srvNext trap)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Unit-tested against 13 real guest ids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Support matrix vs Red Hat article 4234591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Read 2026-09-02; three tiers; tested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 source-side checks, unchecked ≠ pass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Unit-tested, both directions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 capacity and single-node fit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Unit-tested; "never" separated from "not today"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Resource fidelity (reservations → Burstable)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Unit-tested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Move-together groups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Unit-tested; over-populated signals dropped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Drift against a stored baseline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Unit-tested; ConfigMap-backed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 pack (HTML + CSV, injection-safe)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Unit-tested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 grouping incl. OS split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Unit-tested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Change-request gate on the Plan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Unit-tested verdict mapping; live in the lab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 measured ETA + stall detection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Unit-tested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Rollback (source never deleted)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Unit-tested decision logic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MTV readiness detection + RBAC guidance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✅ Live (fixed after two field runs)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Wave scheduling against blackout windows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🔶 Roadmap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RCA agent on a stalled transfer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🔶 Machinery exists (UC-05); auto-wiring is roadmap</w:t>
            </w:r>
          </w:p>
        </w:tc>
      </w:tr>
    </w:tbl>
    <w:p/>
    <w:p>
      <w:pPr>
        <w:spacing w:after="120"/>
      </w:pPr>
      <w:r>
        <w:rPr>
          <w:i w:val="false"/>
          <w:iCs w:val="false"/>
        </w:rPr>
        <w:t xml:space="preserve">---</w:t>
      </w:r>
    </w:p>
    <w:p>
      <w:pPr>
        <w:pStyle w:val="Heading2"/>
        <w:spacing w:after="120" w:before="220"/>
      </w:pPr>
      <w:r>
        <w:t xml:space="preserve">Regenerating this pack</w:t>
      </w:r>
    </w:p>
    <w:p>
      <w:pPr>
        <w:shd w:fill="F1F5F9" w:val="clear"/>
      </w:pPr>
      <w:r>
        <w:rPr>
          <w:rFonts w:ascii="Consolas" w:cs="Consolas" w:eastAsia="Consolas" w:hAnsi="Consolas"/>
          <w:sz w:val="16"/>
          <w:szCs w:val="16"/>
        </w:rPr>
        <w:t xml:space="preserve">node usecases/uc-10-vm-migration/generate-ppt.cjs     # deck</w:t>
      </w:r>
    </w:p>
    <w:p>
      <w:pPr>
        <w:shd w:fill="F1F5F9" w:val="clear"/>
      </w:pPr>
      <w:r>
        <w:rPr>
          <w:rFonts w:ascii="Consolas" w:cs="Consolas" w:eastAsia="Consolas" w:hAnsi="Consolas"/>
          <w:sz w:val="16"/>
          <w:szCs w:val="16"/>
        </w:rPr>
        <w:t xml:space="preserve">node usecases/uc-10-vm-migration/generate-excel.cjs   # workbook</w:t>
      </w:r>
    </w:p>
    <w:p>
      <w:pPr>
        <w:shd w:fill="F1F5F9" w:val="clear"/>
      </w:pPr>
      <w:r>
        <w:rPr>
          <w:rFonts w:ascii="Consolas" w:cs="Consolas" w:eastAsia="Consolas" w:hAnsi="Consolas"/>
          <w:sz w:val="16"/>
          <w:szCs w:val="16"/>
        </w:rPr>
        <w:t xml:space="preserve">node usecases/uc-10-vm-migration/generate-docx.cjs    # this document as .docx</w:t>
      </w:r>
    </w:p>
    <w:p>
      <w:pPr>
        <w:shd w:fill="F1F5F9" w:val="clear"/>
      </w:pPr>
      <w:r>
        <w:rPr>
          <w:rFonts w:ascii="Consolas" w:cs="Consolas" w:eastAsia="Consolas" w:hAnsi="Consolas"/>
          <w:sz w:val="16"/>
          <w:szCs w:val="16"/>
        </w:rPr>
        <w:t xml:space="preserve">node usecases/portfolio/generate-usecase-summary.cjs  # the one-slide-each portfolio</w:t>
      </w:r>
    </w:p>
    <w:p/>
    <w:p>
      <w:pPr>
        <w:spacing w:after="120"/>
      </w:pPr>
      <w:r>
        <w:rPr>
          <w:i w:val="false"/>
          <w:iCs w:val="false"/>
        </w:rPr>
        <w:t xml:space="preserve">generate-ppt and generate-excel need pptxgenjs and exceljs, which are devDependencies — they are authoring tools, deliberately absent from the runtime image.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2026-09-02T13:55:56.583Z</dcterms:created>
  <dcterms:modified xsi:type="dcterms:W3CDTF">2026-09-02T13:55:56.583Z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