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t xml:space="preserve">UC-10 — recording script</w:t>
      </w:r>
    </w:p>
    <w:p>
      <w:pPr>
        <w:spacing w:after="120"/>
      </w:pPr>
      <w:r>
        <w:rPr>
          <w:i w:val="false"/>
          <w:iCs w:val="false"/>
        </w:rPr>
        <w:t xml:space="preserve">VM Migration Assurance · VMware to OpenShift Virtualization</w:t>
      </w:r>
    </w:p>
    <w:p>
      <w:pPr>
        <w:spacing w:after="120"/>
      </w:pPr>
      <w:r>
        <w:rPr>
          <w:i w:val="false"/>
          <w:iCs w:val="false"/>
        </w:rPr>
        <w:t xml:space="preserve">Written to be read aloud over a screen recording. Roughly 10 minutes 40 seconds of narration at a normal 150 words per minute — measured from the script, not estimated — across four segments, each recorded separately so a fluffed line costs one take rather than the whole video.</w:t>
      </w:r>
    </w:p>
    <w:p>
      <w:pPr>
        <w:spacing w:after="120"/>
      </w:pPr>
      <w:r>
        <w:rPr>
          <w:i w:val="false"/>
          <w:iCs w:val="false"/>
        </w:rPr>
        <w:t xml:space="preserve">How to use it. Everything in &gt; blockquotes is what you say. Everything in [square brackets] is a stage direction — what should be on screen, or what to click — and is never spoken. Pauses are marked [beat]: a full second of silence, which sounds like confidence on playback and costs nothing to add in Clipchamp.</w:t>
      </w:r>
    </w:p>
    <w:p>
      <w:pPr>
        <w:spacing w:after="120"/>
      </w:pPr>
      <w:r>
        <w:rPr>
          <w:i w:val="false"/>
          <w:iCs w:val="false"/>
        </w:rPr>
        <w:t xml:space="preserve">Before you start - Open the migration agent in presentation mode (⤢ Present) — larger type, explanatory prose hidden, fits the frame on a shared screen. - Have a completed migration already in the history panel. A recording is not the place to wait for a transfer. - Close Slack, mail, and anything that can raise a notification. - Record at 1920×1080. If your laptop is 1366×768, plug in a monitor — the small text will not survive compression otherwise.</w:t>
      </w:r>
    </w:p>
    <w:p>
      <w:pPr>
        <w:spacing w:after="120"/>
      </w:pPr>
      <w:r>
        <w:rPr>
          <w:i w:val="false"/>
          <w:iCs w:val="false"/>
        </w:rPr>
        <w:t xml:space="preserve">---</w:t>
      </w:r>
    </w:p>
    <w:p>
      <w:pPr>
        <w:pStyle w:val="Heading2"/>
        <w:spacing w:after="120" w:before="220"/>
      </w:pPr>
      <w:r>
        <w:t xml:space="preserve">Segment 1 · Title slide  ·  1m 15s</w:t>
      </w:r>
    </w:p>
    <w:p>
      <w:pPr>
        <w:spacing w:after="120"/>
      </w:pPr>
      <w:r>
        <w:rPr>
          <w:i w:val="false"/>
          <w:iCs w:val="false"/>
        </w:rPr>
        <w:t xml:space="preserve">[Full-screen title slide. Hold it for two seconds of silence before you speak — Clipchamp gives you a clean handle to trim against.]</w:t>
      </w:r>
    </w:p>
    <w:p>
      <w:pPr>
        <w:spacing w:after="120"/>
      </w:pPr>
      <w:r>
        <w:rPr>
          <w:i w:val="false"/>
          <w:iCs w:val="false"/>
        </w:rPr>
        <w:t xml:space="preserve">Every organisation moving off VMware right now is asking the same question, and it is not "can we copy the disks?" [beat] The tooling to copy disks already exists, and it works. Red Hat ships it — the Migration Toolkit for Virtualization.</w:t>
      </w:r>
    </w:p>
    <w:p>
      <w:pPr>
        <w:spacing w:after="120"/>
      </w:pPr>
      <w:r>
        <w:rPr>
          <w:i w:val="false"/>
          <w:iCs w:val="false"/>
        </w:rPr>
        <w:t xml:space="preserve">The question they are actually asking is harder. Which machines can move. When. What breaks if they do. Who signed off. And — three weeks later, when somebody asks — what actually happened.</w:t>
      </w:r>
    </w:p>
    <w:p>
      <w:pPr>
        <w:spacing w:after="120"/>
      </w:pPr>
      <w:r>
        <w:rPr>
          <w:i w:val="false"/>
          <w:iCs w:val="false"/>
        </w:rPr>
        <w:t xml:space="preserve">[beat]</w:t>
      </w:r>
    </w:p>
    <w:p>
      <w:pPr>
        <w:spacing w:after="120"/>
      </w:pPr>
      <w:r>
        <w:rPr>
          <w:i w:val="false"/>
          <w:iCs w:val="false"/>
        </w:rPr>
        <w:t xml:space="preserve">That is what this is. Not another transfer engine. An assurance layer around the one Red Hat already gives you.</w:t>
      </w:r>
    </w:p>
    <w:p>
      <w:pPr>
        <w:spacing w:after="120"/>
      </w:pPr>
      <w:r>
        <w:rPr>
          <w:i w:val="false"/>
          <w:iCs w:val="false"/>
        </w:rPr>
        <w:t xml:space="preserve">[Point the cursor at the quote on the lower half of the slide.]</w:t>
      </w:r>
    </w:p>
    <w:p>
      <w:pPr>
        <w:spacing w:after="120"/>
      </w:pPr>
      <w:r>
        <w:rPr>
          <w:i w:val="false"/>
          <w:iCs w:val="false"/>
        </w:rPr>
        <w:t xml:space="preserve">And the line at the bottom is the whole design in one sentence. Every assessment tool on the market reads the source — it inspects vCenter and tells you about your VMware estate. This one runs inside the destination, on the OpenShift cluster the machines are moving to.</w:t>
      </w:r>
    </w:p>
    <w:p>
      <w:pPr>
        <w:spacing w:after="120"/>
      </w:pPr>
      <w:r>
        <w:rPr>
          <w:i w:val="false"/>
          <w:iCs w:val="false"/>
        </w:rPr>
        <w:t xml:space="preserve">Which means it can answer a question none of them can. Not "will this copy cleanly?" — but "will this machine actually run when it lands?"</w:t>
      </w:r>
    </w:p>
    <w:p>
      <w:pPr>
        <w:spacing w:after="120"/>
      </w:pPr>
      <w:r>
        <w:rPr>
          <w:i w:val="false"/>
          <w:iCs w:val="false"/>
        </w:rPr>
        <w:t xml:space="preserve">[beat] Those are very different questions, and only one of them matters at two in the morning.</w:t>
      </w:r>
    </w:p>
    <w:p>
      <w:pPr>
        <w:spacing w:after="120"/>
      </w:pPr>
      <w:r>
        <w:rPr>
          <w:i w:val="false"/>
          <w:iCs w:val="false"/>
        </w:rPr>
        <w:t xml:space="preserve">---</w:t>
      </w:r>
    </w:p>
    <w:p>
      <w:pPr>
        <w:pStyle w:val="Heading2"/>
        <w:spacing w:after="120" w:before="220"/>
      </w:pPr>
      <w:r>
        <w:t xml:space="preserve">Segment 2 · The workflow slide  ·  2m 15s</w:t>
      </w:r>
    </w:p>
    <w:p>
      <w:pPr>
        <w:spacing w:after="120"/>
      </w:pPr>
      <w:r>
        <w:rPr>
          <w:i w:val="false"/>
          <w:iCs w:val="false"/>
        </w:rPr>
        <w:t xml:space="preserve">[Switch to the "Seven stages for cold, eight for warm" slide.]</w:t>
      </w:r>
    </w:p>
    <w:p>
      <w:pPr>
        <w:spacing w:after="120"/>
      </w:pPr>
      <w:r>
        <w:rPr>
          <w:i w:val="false"/>
          <w:iCs w:val="false"/>
        </w:rPr>
        <w:t xml:space="preserve">Here is the whole thing end to end. Three lanes — and the reason there are three is the single most important idea in this design.</w:t>
      </w:r>
    </w:p>
    <w:p>
      <w:pPr>
        <w:spacing w:after="120"/>
      </w:pPr>
      <w:r>
        <w:rPr>
          <w:i w:val="false"/>
          <w:iCs w:val="false"/>
        </w:rPr>
        <w:t xml:space="preserve">[Cursor along the top BOTH row, left to right, in time with the words.]</w:t>
      </w:r>
    </w:p>
    <w:p>
      <w:pPr>
        <w:spacing w:after="120"/>
      </w:pPr>
      <w:r>
        <w:rPr>
          <w:i w:val="false"/>
          <w:iCs w:val="false"/>
        </w:rPr>
        <w:t xml:space="preserve">The top row is shared. Discover is read-only — nothing is ever written to vCenter. Analyse assesses every machine you discovered, not the ones you already picked, and I will come back to why that ordering matters. Select is where you choose the wave. And Plan and change is where the estimate, the change window and the CAB approval live.</w:t>
      </w:r>
    </w:p>
    <w:p>
      <w:pPr>
        <w:spacing w:after="120"/>
      </w:pPr>
      <w:r>
        <w:rPr>
          <w:i w:val="false"/>
          <w:iCs w:val="false"/>
        </w:rPr>
        <w:t xml:space="preserve">[beat] Now look at what happens next.</w:t>
      </w:r>
    </w:p>
    <w:p>
      <w:pPr>
        <w:spacing w:after="120"/>
      </w:pPr>
      <w:r>
        <w:rPr>
          <w:i w:val="false"/>
          <w:iCs w:val="false"/>
        </w:rPr>
        <w:t xml:space="preserve">[Cursor on the COLD row.]</w:t>
      </w:r>
    </w:p>
    <w:p>
      <w:pPr>
        <w:spacing w:after="120"/>
      </w:pPr>
      <w:r>
        <w:rPr>
          <w:i w:val="false"/>
          <w:iCs w:val="false"/>
        </w:rPr>
        <w:t xml:space="preserve">A cold migration powers the guest off first, and then copies. Which means the outage is the entire transfer. For a large VM that is hours.</w:t>
      </w:r>
    </w:p>
    <w:p>
      <w:pPr>
        <w:spacing w:after="120"/>
      </w:pPr>
      <w:r>
        <w:rPr>
          <w:i w:val="false"/>
          <w:iCs w:val="false"/>
        </w:rPr>
        <w:t xml:space="preserve">[Cursor on the WARM row.]</w:t>
      </w:r>
    </w:p>
    <w:p>
      <w:pPr>
        <w:spacing w:after="120"/>
      </w:pPr>
      <w:r>
        <w:rPr>
          <w:i w:val="false"/>
          <w:iCs w:val="false"/>
        </w:rPr>
        <w:t xml:space="preserve">A warm migration copies the disks while the guest carries on serving users, and the only downtime is the cutover at the very end. Minutes, not hours.</w:t>
      </w:r>
    </w:p>
    <w:p>
      <w:pPr>
        <w:spacing w:after="120"/>
      </w:pPr>
      <w:r>
        <w:rPr>
          <w:i w:val="false"/>
          <w:iCs w:val="false"/>
        </w:rPr>
        <w:t xml:space="preserve">[Cursor on the greyed "no cutover step" box in the cold row.]</w:t>
      </w:r>
    </w:p>
    <w:p>
      <w:pPr>
        <w:spacing w:after="120"/>
      </w:pPr>
      <w:r>
        <w:rPr>
          <w:i w:val="false"/>
          <w:iCs w:val="false"/>
        </w:rPr>
        <w:t xml:space="preserve">And notice this. Cold has no cutover step at all. That is why these are drawn as two different routes rather than one pipeline with a checkbox — because drawn as one pipeline, a cold migration promises you a cutover stage it is never going to have. Small thing. It is the sort of small thing that loses people's trust in a tool.</w:t>
      </w:r>
    </w:p>
    <w:p>
      <w:pPr>
        <w:spacing w:after="120"/>
      </w:pPr>
      <w:r>
        <w:rPr>
          <w:i w:val="false"/>
          <w:iCs w:val="false"/>
        </w:rPr>
        <w:t xml:space="preserve">[Cursor along the four coloured chips at the bottom.]</w:t>
      </w:r>
    </w:p>
    <w:p>
      <w:pPr>
        <w:spacing w:after="120"/>
      </w:pPr>
      <w:r>
        <w:rPr>
          <w:i w:val="false"/>
          <w:iCs w:val="false"/>
        </w:rPr>
        <w:t xml:space="preserve">Four guarantees underneath, and they hold at every stage. Discovery writes nothing to vCenter. The AI advises — warm or cold, with a reason — and rules overrule it before you ever see the answer. The CAB approves, and that gate is re-read from the cluster at the moment you press migrate, not trusted from the browser. And the whole thing stays reversible until the source VMs are deleted — which is a separate change request, days later, that a human raises.</w:t>
      </w:r>
    </w:p>
    <w:p>
      <w:pPr>
        <w:spacing w:after="120"/>
      </w:pPr>
      <w:r>
        <w:rPr>
          <w:i w:val="false"/>
          <w:iCs w:val="false"/>
        </w:rPr>
        <w:t xml:space="preserve">[beat]</w:t>
      </w:r>
    </w:p>
    <w:p>
      <w:pPr>
        <w:spacing w:after="120"/>
      </w:pPr>
      <w:r>
        <w:rPr>
          <w:i w:val="false"/>
          <w:iCs w:val="false"/>
        </w:rPr>
        <w:t xml:space="preserve">[Cursor on the green line at the very bottom.]</w:t>
      </w:r>
    </w:p>
    <w:p>
      <w:pPr>
        <w:spacing w:after="120"/>
      </w:pPr>
      <w:r>
        <w:rPr>
          <w:i w:val="false"/>
          <w:iCs w:val="false"/>
        </w:rPr>
        <w:t xml:space="preserve">Which brings us to the sentence at the bottom. Nothing moves until a plan is created, validated, and a change request approved — and this platform never deletes your source VM. Not at any stage. Not on rollback. Not on success.</w:t>
      </w:r>
    </w:p>
    <w:p>
      <w:pPr>
        <w:spacing w:after="120"/>
      </w:pPr>
      <w:r>
        <w:rPr>
          <w:i w:val="false"/>
          <w:iCs w:val="false"/>
        </w:rPr>
        <w:t xml:space="preserve">Let me show you it running.</w:t>
      </w:r>
    </w:p>
    <w:p>
      <w:pPr>
        <w:spacing w:after="120"/>
      </w:pPr>
      <w:r>
        <w:rPr>
          <w:i w:val="false"/>
          <w:iCs w:val="false"/>
        </w:rPr>
        <w:t xml:space="preserve">---</w:t>
      </w:r>
    </w:p>
    <w:p>
      <w:pPr>
        <w:pStyle w:val="Heading2"/>
        <w:spacing w:after="120" w:before="220"/>
      </w:pPr>
      <w:r>
        <w:t xml:space="preserve">Segment 3 · The live walkthrough  ·  6m 30s</w:t>
      </w:r>
    </w:p>
    <w:p>
      <w:pPr>
        <w:spacing w:after="120"/>
      </w:pPr>
      <w:r>
        <w:rPr>
          <w:i w:val="false"/>
          <w:iCs w:val="false"/>
        </w:rPr>
        <w:t xml:space="preserve">[Screen share the console. Automation Hub → VM Migration Agent, presentation mode on, step 1.]</w:t>
      </w:r>
    </w:p>
    <w:p>
      <w:pPr>
        <w:pStyle w:val="Heading3"/>
        <w:spacing w:after="120" w:before="220"/>
      </w:pPr>
      <w:r>
        <w:t xml:space="preserve">3a · Where you land  ·  50s</w:t>
      </w:r>
    </w:p>
    <w:p>
      <w:pPr>
        <w:spacing w:after="120"/>
      </w:pPr>
      <w:r>
        <w:rPr>
          <w:i w:val="false"/>
          <w:iCs w:val="false"/>
        </w:rPr>
        <w:t xml:space="preserve">This is the agent. Four steps across the top, and the readiness banner — it has checked that the Migration Toolkit is installed, configured, and that this service account can actually read it.</w:t>
      </w:r>
    </w:p>
    <w:p>
      <w:pPr>
        <w:spacing w:after="120"/>
      </w:pPr>
      <w:r>
        <w:rPr>
          <w:i w:val="false"/>
          <w:iCs w:val="false"/>
        </w:rPr>
        <w:t xml:space="preserve">[Cursor on the Migration history panel.]</w:t>
      </w:r>
    </w:p>
    <w:p>
      <w:pPr>
        <w:spacing w:after="120"/>
      </w:pPr>
      <w:r>
        <w:rPr>
          <w:i w:val="false"/>
          <w:iCs w:val="false"/>
        </w:rPr>
        <w:t xml:space="preserve">And before anything else: migration history. Past migrations, what each one took against its estimate, the change request, and what the AI cost that run. This survives a rollback deleting the plan, a pod restart, and a different person opening this tomorrow — because it is kept in a database, not in this browser tab.</w:t>
      </w:r>
    </w:p>
    <w:p>
      <w:pPr>
        <w:pStyle w:val="Heading3"/>
        <w:spacing w:after="120" w:before="220"/>
      </w:pPr>
      <w:r>
        <w:t xml:space="preserve">3b · Discover  ·  55s</w:t>
      </w:r>
    </w:p>
    <w:p>
      <w:pPr>
        <w:spacing w:after="120"/>
      </w:pPr>
      <w:r>
        <w:rPr>
          <w:i w:val="false"/>
          <w:iCs w:val="false"/>
        </w:rPr>
        <w:t xml:space="preserve">[Choose the vSphere provider. Click Discover VMs.]</w:t>
      </w:r>
    </w:p>
    <w:p>
      <w:pPr>
        <w:spacing w:after="120"/>
      </w:pPr>
      <w:r>
        <w:rPr>
          <w:i w:val="false"/>
          <w:iCs w:val="false"/>
        </w:rPr>
        <w:t xml:space="preserve">Pick the source, discover. [beat] That is a read-only inventory call — operating system, addresses, CPU, memory, every disk.</w:t>
      </w:r>
    </w:p>
    <w:p>
      <w:pPr>
        <w:spacing w:after="120"/>
      </w:pPr>
      <w:r>
        <w:rPr>
          <w:i w:val="false"/>
          <w:iCs w:val="false"/>
        </w:rPr>
        <w:t xml:space="preserve">[Scroll the discovered list.]</w:t>
      </w:r>
    </w:p>
    <w:p>
      <w:pPr>
        <w:spacing w:after="120"/>
      </w:pPr>
      <w:r>
        <w:rPr>
          <w:i w:val="false"/>
          <w:iCs w:val="false"/>
        </w:rPr>
        <w:t xml:space="preserve">Two details worth calling out. There is no tick box here — you cannot select machines yet, deliberately. And the guest operating system is a real name, not a vSphere code. vCenter reports windows2019srvNext_64Guest, which means Windows Server 2022, not 2019 — srvNext means the release after the one it names. Get that wrong across an estate and half your Windows machines are assessed against the wrong support matrix.</w:t>
      </w:r>
    </w:p>
    <w:p>
      <w:pPr>
        <w:pStyle w:val="Heading3"/>
        <w:spacing w:after="120" w:before="220"/>
      </w:pPr>
      <w:r>
        <w:t xml:space="preserve">3c · Analyse  ·  2m 20s</w:t>
      </w:r>
    </w:p>
    <w:p>
      <w:pPr>
        <w:spacing w:after="120"/>
      </w:pPr>
      <w:r>
        <w:rPr>
          <w:i w:val="false"/>
          <w:iCs w:val="false"/>
        </w:rPr>
        <w:t xml:space="preserve">[Click through to step 2. Let the progress panel show if the assessment runs.]</w:t>
      </w:r>
    </w:p>
    <w:p>
      <w:pPr>
        <w:spacing w:after="120"/>
      </w:pPr>
      <w:r>
        <w:rPr>
          <w:i w:val="false"/>
          <w:iCs w:val="false"/>
        </w:rPr>
        <w:t xml:space="preserve">Now it assesses every machine — and this is that ordering point from the slide. You cannot sensibly choose what to migrate until you know what can be migrated. Pick first and you are picking blind.</w:t>
      </w:r>
    </w:p>
    <w:p>
      <w:pPr>
        <w:spacing w:after="120"/>
      </w:pPr>
      <w:r>
        <w:rPr>
          <w:i w:val="false"/>
          <w:iCs w:val="false"/>
        </w:rPr>
        <w:t xml:space="preserve">[The report lands. Cursor on the donuts.]</w:t>
      </w:r>
    </w:p>
    <w:p>
      <w:pPr>
        <w:spacing w:after="120"/>
      </w:pPr>
      <w:r>
        <w:rPr>
          <w:i w:val="false"/>
          <w:iCs w:val="false"/>
        </w:rPr>
        <w:t xml:space="preserve">Ready, with caveats, needs review, blocked — by operating system family. Underneath each one, the compute and storage it carries, because "twelve VMs" and "twelve VMs totalling four terabytes" are different problems.</w:t>
      </w:r>
    </w:p>
    <w:p>
      <w:pPr>
        <w:spacing w:after="120"/>
      </w:pPr>
      <w:r>
        <w:rPr>
          <w:i w:val="false"/>
          <w:iCs w:val="false"/>
        </w:rPr>
        <w:t xml:space="preserve">[Cursor on "Will it fit?".]</w:t>
      </w:r>
    </w:p>
    <w:p>
      <w:pPr>
        <w:spacing w:after="120"/>
      </w:pPr>
      <w:r>
        <w:rPr>
          <w:i w:val="false"/>
          <w:iCs w:val="false"/>
        </w:rPr>
        <w:t xml:space="preserve">This is the check nobody else makes. On OpenShift Virtualization a VM is a pod — it has to fit on one node. A sixty-four gig guest on thirty-two gig workers will copy perfectly, and then sit Pending for ever, after you have spent the outage. We only know that because we are running inside the destination.</w:t>
      </w:r>
    </w:p>
    <w:p>
      <w:pPr>
        <w:spacing w:after="120"/>
      </w:pPr>
      <w:r>
        <w:rPr>
          <w:i w:val="false"/>
          <w:iCs w:val="false"/>
        </w:rPr>
        <w:t xml:space="preserve">[Cursor on the support-by-distribution bars.]</w:t>
      </w:r>
    </w:p>
    <w:p>
      <w:pPr>
        <w:spacing w:after="120"/>
      </w:pPr>
      <w:r>
        <w:rPr>
          <w:i w:val="false"/>
          <w:iCs w:val="false"/>
        </w:rPr>
        <w:t xml:space="preserve">Guest support against Red Hat's certified list — and Red Hat publishes three tiers, not two. Certified, vendor-supported, and known-to-run. The difference only shows up when you open a support case.</w:t>
      </w:r>
    </w:p>
    <w:p>
      <w:pPr>
        <w:spacing w:after="120"/>
      </w:pPr>
      <w:r>
        <w:rPr>
          <w:i w:val="false"/>
          <w:iCs w:val="false"/>
        </w:rPr>
        <w:t xml:space="preserve">[Expand one VM row.]</w:t>
      </w:r>
    </w:p>
    <w:p>
      <w:pPr>
        <w:spacing w:after="120"/>
      </w:pPr>
      <w:r>
        <w:rPr>
          <w:i w:val="false"/>
          <w:iCs w:val="false"/>
        </w:rPr>
        <w:t xml:space="preserve">And per machine, what to change. Snapshots, VMware Tools, vTPM, pass-through devices. [beat] The rule underneath all of this is the one I would most want you to remember: a check that could not run is never reported as a pass. If the inventory did not tell us, it says so. Silence never looks like a clean bill of health.</w:t>
      </w:r>
    </w:p>
    <w:p>
      <w:pPr>
        <w:spacing w:after="120"/>
      </w:pPr>
      <w:r>
        <w:rPr>
          <w:i w:val="false"/>
          <w:iCs w:val="false"/>
        </w:rPr>
        <w:t xml:space="preserve">[Cursor on the AI usage cell in the header.]</w:t>
      </w:r>
    </w:p>
    <w:p>
      <w:pPr>
        <w:spacing w:after="120"/>
      </w:pPr>
      <w:r>
        <w:rPr>
          <w:i w:val="false"/>
          <w:iCs w:val="false"/>
        </w:rPr>
        <w:t xml:space="preserve">And the AI. Two calls — for the whole fleet. Tokens, and the cost, with the arithmetic behind it if you click. The verdicts, the checks, the capacity answer and the estimate are all computed. The model is asked one thing: warm or cold, per machine, and why.</w:t>
      </w:r>
    </w:p>
    <w:p>
      <w:pPr>
        <w:pStyle w:val="Heading3"/>
        <w:spacing w:after="120" w:before="220"/>
      </w:pPr>
      <w:r>
        <w:t xml:space="preserve">3d · Select and plan  ·  50s</w:t>
      </w:r>
    </w:p>
    <w:p>
      <w:pPr>
        <w:spacing w:after="120"/>
      </w:pPr>
      <w:r>
        <w:rPr>
          <w:i w:val="false"/>
          <w:iCs w:val="false"/>
        </w:rPr>
        <w:t xml:space="preserve">[Step 3. Machines pre-ticked; change one method.]</w:t>
      </w:r>
    </w:p>
    <w:p>
      <w:pPr>
        <w:spacing w:after="120"/>
      </w:pPr>
      <w:r>
        <w:rPr>
          <w:i w:val="false"/>
          <w:iCs w:val="false"/>
        </w:rPr>
        <w:t xml:space="preserve">Eligible machines are pre-ticked with the method the report recommends — a starting point, not a decision. Everything is editable, and warm is only offered where it can physically work.</w:t>
      </w:r>
    </w:p>
    <w:p>
      <w:pPr>
        <w:spacing w:after="120"/>
      </w:pPr>
      <w:r>
        <w:rPr>
          <w:i w:val="false"/>
          <w:iCs w:val="false"/>
        </w:rPr>
        <w:t xml:space="preserve">[Step 4. The estimate panel.]</w:t>
      </w:r>
    </w:p>
    <w:p>
      <w:pPr>
        <w:spacing w:after="120"/>
      </w:pPr>
      <w:r>
        <w:rPr>
          <w:i w:val="false"/>
          <w:iCs w:val="false"/>
        </w:rPr>
        <w:t xml:space="preserve">Then the estimate, from throughput this cluster has actually achieved, not a vendor number. Transfer time and downtime stated separately — and costed both with and without the VDDK image, so that choice is a number rather than a link to a document.</w:t>
      </w:r>
    </w:p>
    <w:p>
      <w:pPr>
        <w:spacing w:after="120"/>
      </w:pPr>
      <w:r>
        <w:rPr>
          <w:i w:val="false"/>
          <w:iCs w:val="false"/>
        </w:rPr>
        <w:t xml:space="preserve">[Click Create plan(s).]</w:t>
      </w:r>
    </w:p>
    <w:p>
      <w:pPr>
        <w:spacing w:after="120"/>
      </w:pPr>
      <w:r>
        <w:rPr>
          <w:i w:val="false"/>
          <w:iCs w:val="false"/>
        </w:rPr>
        <w:t xml:space="preserve">Create the plans. [beat] MTV validates them — and nothing has moved.</w:t>
      </w:r>
    </w:p>
    <w:p>
      <w:pPr>
        <w:pStyle w:val="Heading3"/>
        <w:spacing w:after="120" w:before="220"/>
      </w:pPr>
      <w:r>
        <w:t xml:space="preserve">3e · The change request  ·  1m 10s</w:t>
      </w:r>
    </w:p>
    <w:p>
      <w:pPr>
        <w:spacing w:after="120"/>
      </w:pPr>
      <w:r>
        <w:rPr>
          <w:i w:val="false"/>
          <w:iCs w:val="false"/>
        </w:rPr>
        <w:t xml:space="preserve">[Click Raise change request.]</w:t>
      </w:r>
    </w:p>
    <w:p>
      <w:pPr>
        <w:spacing w:after="120"/>
      </w:pPr>
      <w:r>
        <w:rPr>
          <w:i w:val="false"/>
          <w:iCs w:val="false"/>
        </w:rPr>
        <w:t xml:space="preserve">Now the governance. The platform authors the change request: the machines, the estimate, the implementation plan, the backout plan, the test plan.</w:t>
      </w:r>
    </w:p>
    <w:p>
      <w:pPr>
        <w:spacing w:after="120"/>
      </w:pPr>
      <w:r>
        <w:rPr>
          <w:i w:val="false"/>
          <w:iCs w:val="false"/>
        </w:rPr>
        <w:t xml:space="preserve">[Cursor on the window.]</w:t>
      </w:r>
    </w:p>
    <w:p>
      <w:pPr>
        <w:spacing w:after="120"/>
      </w:pPr>
      <w:r>
        <w:rPr>
          <w:i w:val="false"/>
          <w:iCs w:val="false"/>
        </w:rPr>
        <w:t xml:space="preserve">And it sizes the window properly. That is the implementation window, not the outage — pre-checks, the work, verification, time to back out, and contingency. A window sized to the downtime has no room to put things back if it goes wrong, which is how you end up doing unapproved work in the middle of an incident.</w:t>
      </w:r>
    </w:p>
    <w:p>
      <w:pPr>
        <w:spacing w:after="120"/>
      </w:pPr>
      <w:r>
        <w:rPr>
          <w:i w:val="false"/>
          <w:iCs w:val="false"/>
        </w:rPr>
        <w:t xml:space="preserve">Both numbers go on the record. A four-hour window, in which the service is down for seven minutes. Saying both is what makes it an honest request rather than an alarming one.</w:t>
      </w:r>
    </w:p>
    <w:p>
      <w:pPr>
        <w:spacing w:after="120"/>
      </w:pPr>
      <w:r>
        <w:rPr>
          <w:i w:val="false"/>
          <w:iCs w:val="false"/>
        </w:rPr>
        <w:t xml:space="preserve">[Switch to the ServiceNow tab, show the attachment.]</w:t>
      </w:r>
    </w:p>
    <w:p>
      <w:pPr>
        <w:spacing w:after="120"/>
      </w:pPr>
      <w:r>
        <w:rPr>
          <w:i w:val="false"/>
          <w:iCs w:val="false"/>
        </w:rPr>
        <w:t xml:space="preserve">And the full migration record is attached to the ticket. Every VM, how it moves, the impact, how to back out, what the model contributed. A description field is a poor place for a table of machines.</w:t>
      </w:r>
    </w:p>
    <w:p>
      <w:pPr>
        <w:pStyle w:val="Heading3"/>
        <w:spacing w:after="120" w:before="220"/>
      </w:pPr>
      <w:r>
        <w:t xml:space="preserve">3f · Migrate, cut over, verify  ·  2m 15s</w:t>
      </w:r>
    </w:p>
    <w:p>
      <w:pPr>
        <w:spacing w:after="120"/>
      </w:pPr>
      <w:r>
        <w:rPr>
          <w:i w:val="false"/>
          <w:iCs w:val="false"/>
        </w:rPr>
        <w:t xml:space="preserve">[Back to the console, showing an in-flight or completed transfer.]</w:t>
      </w:r>
    </w:p>
    <w:p>
      <w:pPr>
        <w:spacing w:after="120"/>
      </w:pPr>
      <w:r>
        <w:rPr>
          <w:i w:val="false"/>
          <w:iCs w:val="false"/>
        </w:rPr>
        <w:t xml:space="preserve">Once it is approved, a human clicks migrate — and the server re-reads that approval from the cluster before it acts. An enabled button is not authorisation.</w:t>
      </w:r>
    </w:p>
    <w:p>
      <w:pPr>
        <w:spacing w:after="120"/>
      </w:pPr>
      <w:r>
        <w:rPr>
          <w:i w:val="false"/>
          <w:iCs w:val="false"/>
        </w:rPr>
        <w:t xml:space="preserve">[Cursor on the live figures.]</w:t>
      </w:r>
    </w:p>
    <w:p>
      <w:pPr>
        <w:spacing w:after="120"/>
      </w:pPr>
      <w:r>
        <w:rPr>
          <w:i w:val="false"/>
          <w:iCs w:val="false"/>
        </w:rPr>
        <w:t xml:space="preserve">While it runs: megabytes moved of total, the live rate, percent. The same three numbers MTV's own console shows, in the same units, so you can read the two screens side by side without reconciling them.</w:t>
      </w:r>
    </w:p>
    <w:p>
      <w:pPr>
        <w:spacing w:after="120"/>
      </w:pPr>
      <w:r>
        <w:rPr>
          <w:i w:val="false"/>
          <w:iCs w:val="false"/>
        </w:rPr>
        <w:t xml:space="preserve">[Cursor on the cutover panel.]</w:t>
      </w:r>
    </w:p>
    <w:p>
      <w:pPr>
        <w:spacing w:after="120"/>
      </w:pPr>
      <w:r>
        <w:rPr>
          <w:i w:val="false"/>
          <w:iCs w:val="false"/>
        </w:rPr>
        <w:t xml:space="preserve">Then, on a warm migration, it stops — and this is the part people find surprising. The copy is finished. The guest is still serving users. Nothing more happens until somebody says it may go down, because that is the outage.</w:t>
      </w:r>
    </w:p>
    <w:p>
      <w:pPr>
        <w:spacing w:after="120"/>
      </w:pPr>
      <w:r>
        <w:rPr>
          <w:i w:val="false"/>
          <w:iCs w:val="false"/>
        </w:rPr>
        <w:t xml:space="preserve">So the cutover is gated on the change request, not on a button being present. Inside the approved window you can go now. Before it, you schedule it, and MTV performs it with nobody watching. [beat] And if the change board moves the window, the scheduled cutover follows it.</w:t>
      </w:r>
    </w:p>
    <w:p>
      <w:pPr>
        <w:spacing w:after="120"/>
      </w:pPr>
      <w:r>
        <w:rPr>
          <w:i w:val="false"/>
          <w:iCs w:val="false"/>
        </w:rPr>
        <w:t xml:space="preserve">[Cursor on the verification panel.]</w:t>
      </w:r>
    </w:p>
    <w:p>
      <w:pPr>
        <w:spacing w:after="120"/>
      </w:pPr>
      <w:r>
        <w:rPr>
          <w:i w:val="false"/>
          <w:iCs w:val="false"/>
        </w:rPr>
        <w:t xml:space="preserve">Then verification — because "Succeeded" on a plan describes the transfer, not the machine. Is it running. Did it keep its address. Did every disk come across. Does it match the shape that was promised.</w:t>
      </w:r>
    </w:p>
    <w:p>
      <w:pPr>
        <w:spacing w:after="120"/>
      </w:pPr>
      <w:r>
        <w:rPr>
          <w:i w:val="false"/>
          <w:iCs w:val="false"/>
        </w:rPr>
        <w:t xml:space="preserve">[Cursor on the source-off check.]</w:t>
      </w:r>
    </w:p>
    <w:p>
      <w:pPr>
        <w:spacing w:after="120"/>
      </w:pPr>
      <w:r>
        <w:rPr>
          <w:i w:val="false"/>
          <w:iCs w:val="false"/>
        </w:rPr>
        <w:t xml:space="preserve">And this one. Is the source VM powered off. If both are running you have two copies of one identity on one network, each writing to storage the other cannot see — and whichever one loses is the one somebody was using. That is the failure nobody plans for.</w:t>
      </w:r>
    </w:p>
    <w:p>
      <w:pPr>
        <w:spacing w:after="120"/>
      </w:pPr>
      <w:r>
        <w:rPr>
          <w:i w:val="false"/>
          <w:iCs w:val="false"/>
        </w:rPr>
        <w:t xml:space="preserve">A passing verification closes the change request with the results. A failed one closes nothing.</w:t>
      </w:r>
    </w:p>
    <w:p>
      <w:pPr>
        <w:spacing w:after="120"/>
      </w:pPr>
      <w:r>
        <w:rPr>
          <w:i w:val="false"/>
          <w:iCs w:val="false"/>
        </w:rPr>
        <w:t xml:space="preserve">[Cursor on the decommission panel.]</w:t>
      </w:r>
    </w:p>
    <w:p>
      <w:pPr>
        <w:spacing w:after="120"/>
      </w:pPr>
      <w:r>
        <w:rPr>
          <w:i w:val="false"/>
          <w:iCs w:val="false"/>
        </w:rPr>
        <w:t xml:space="preserve">And the last step is the only irreversible one: deleting the source. That is a second change request, after a soak period, and this platform still does not do the deleting — it raises the request, and your VMware team carries it out.</w:t>
      </w:r>
    </w:p>
    <w:p>
      <w:pPr>
        <w:spacing w:after="120"/>
      </w:pPr>
      <w:r>
        <w:rPr>
          <w:i w:val="false"/>
          <w:iCs w:val="false"/>
        </w:rPr>
        <w:t xml:space="preserve">---</w:t>
      </w:r>
    </w:p>
    <w:p>
      <w:pPr>
        <w:pStyle w:val="Heading2"/>
        <w:spacing w:after="120" w:before="220"/>
      </w:pPr>
      <w:r>
        <w:t xml:space="preserve">Segment 4 · Thank you  ·  40s</w:t>
      </w:r>
    </w:p>
    <w:p>
      <w:pPr>
        <w:spacing w:after="120"/>
      </w:pPr>
      <w:r>
        <w:rPr>
          <w:i w:val="false"/>
          <w:iCs w:val="false"/>
        </w:rPr>
        <w:t xml:space="preserve">[Thank-you slide.]</w:t>
      </w:r>
    </w:p>
    <w:p>
      <w:pPr>
        <w:spacing w:after="120"/>
      </w:pPr>
      <w:r>
        <w:rPr>
          <w:i w:val="false"/>
          <w:iCs w:val="false"/>
        </w:rPr>
        <w:t xml:space="preserve">So — to close where we started. [beat]</w:t>
      </w:r>
    </w:p>
    <w:p>
      <w:pPr>
        <w:spacing w:after="120"/>
      </w:pPr>
      <w:r>
        <w:rPr>
          <w:i w:val="false"/>
          <w:iCs w:val="false"/>
        </w:rPr>
        <w:t xml:space="preserve">The copying was never the hard part. What makes a migration programme succeed is knowing what can move before you move it, proving it landed properly afterwards, and being able to show someone in six months exactly what happened and who approved it.</w:t>
      </w:r>
    </w:p>
    <w:p>
      <w:pPr>
        <w:spacing w:after="120"/>
      </w:pPr>
      <w:r>
        <w:rPr>
          <w:i w:val="false"/>
          <w:iCs w:val="false"/>
        </w:rPr>
        <w:t xml:space="preserve">Read-only discovery. Assessed against the target, not just the source. The AI where judgement is genuinely needed and measurement everywhere a fact exists. A human on both irreversible acts. And your source VM, still sitting there, powered off and intact, until you decide otherwise.</w:t>
      </w:r>
    </w:p>
    <w:p>
      <w:pPr>
        <w:spacing w:after="120"/>
      </w:pPr>
      <w:r>
        <w:rPr>
          <w:i w:val="false"/>
          <w:iCs w:val="false"/>
        </w:rPr>
        <w:t xml:space="preserve">[beat] Thank you.</w:t>
      </w:r>
    </w:p>
    <w:p>
      <w:pPr>
        <w:spacing w:after="120"/>
      </w:pPr>
      <w:r>
        <w:rPr>
          <w:i w:val="false"/>
          <w:iCs w:val="false"/>
        </w:rPr>
        <w:t xml:space="preserve">[Hold two seconds of silence before you stop recording.]</w:t>
      </w:r>
    </w:p>
    <w:p>
      <w:pPr>
        <w:spacing w:after="120"/>
      </w:pPr>
      <w:r>
        <w:rPr>
          <w:i w:val="false"/>
          <w:iCs w:val="false"/>
        </w:rPr>
        <w:t xml:space="preserve">---</w:t>
      </w:r>
    </w:p>
    <w:p>
      <w:pPr>
        <w:pStyle w:val="Heading2"/>
        <w:spacing w:after="120" w:before="220"/>
      </w:pPr>
      <w:r>
        <w:t xml:space="preserve">Recording notes</w:t>
      </w:r>
    </w:p>
    <w:p>
      <w:pPr>
        <w:spacing w:after="120"/>
      </w:pPr>
      <w:r>
        <w:rPr>
          <w:i w:val="false"/>
          <w:iCs w:val="false"/>
        </w:rPr>
        <w:t xml:space="preserve">Timings — counted from the spoken lines rather than estimated: 1m 15s + 2m 15s + 6m 30s + 40s ≈ 10m 40s of narration at 150 words a minute. Allow 12–13 minutes finished, once the beats and the screen transitions are in. If you need it under ten, cut 3d and 3e to a sentence each — the plan and the change request are the least surprising parts, and the workbook covers them.</w:t>
      </w:r>
    </w:p>
    <w:p>
      <w:pPr>
        <w:spacing w:after="120"/>
      </w:pPr>
      <w:r>
        <w:rPr>
          <w:i w:val="false"/>
          <w:iCs w:val="false"/>
        </w:rPr>
        <w:t xml:space="preserve">Record the four segments separately. Clipchamp joins them cleanly, and a fluffed line costs one take rather than the whole video.</w:t>
      </w:r>
    </w:p>
    <w:p>
      <w:pPr>
        <w:spacing w:after="120"/>
      </w:pPr>
      <w:r>
        <w:rPr>
          <w:i w:val="false"/>
          <w:iCs w:val="false"/>
        </w:rPr>
        <w:t xml:space="preserve">If the demo cluster is slow, record segment 3 in pieces and cut the waiting out. Nobody needs to watch a progress bar — but do leave the live rate on screen for three or four seconds so it is visibly real rather than a mock-up.</w:t>
      </w:r>
    </w:p>
    <w:p>
      <w:pPr>
        <w:spacing w:after="120"/>
      </w:pPr>
      <w:r>
        <w:rPr>
          <w:i w:val="false"/>
          <w:iCs w:val="false"/>
        </w:rPr>
        <w:t xml:space="preserve">The three lines worth landing properly, if you are tight on time and have to cut something else: 1. "Every other tool reads the source. This one runs inside the destination." 2. "A VM is a pod — it has to fit on one node." 3. "A check that could not run is never reported as a pass."</w:t>
      </w:r>
    </w:p>
    <w:p>
      <w:pPr>
        <w:spacing w:after="120"/>
      </w:pPr>
      <w:r>
        <w:rPr>
          <w:i w:val="false"/>
          <w:iCs w:val="false"/>
        </w:rPr>
        <w:t xml:space="preserve">Do not claim a number you cannot show on screen. If the AI cost cell reads "—" because the provider did not report usage, say so and move on — the tool is built to be honest about that, and a demo that glosses over it undercuts the thing you are selling.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2026-09-11T09:38:39.609Z</dcterms:created>
  <dcterms:modified xsi:type="dcterms:W3CDTF">2026-09-11T09:38:39.609Z</dcterms:modified>
</cp:coreProperties>
</file>

<file path=docProps/custom.xml><?xml version="1.0" encoding="utf-8"?>
<Properties xmlns="http://schemas.openxmlformats.org/officeDocument/2006/custom-properties" xmlns:vt="http://schemas.openxmlformats.org/officeDocument/2006/docPropsVTypes"/>
</file>