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recording script</w:t>
      </w:r>
    </w:p>
    <w:p>
      <w:pPr>
        <w:spacing w:after="120"/>
      </w:pPr>
      <w:r>
        <w:rPr>
          <w:i w:val="false"/>
          <w:iCs w:val="false"/>
        </w:rPr>
        <w:t xml:space="preserve">VM Migration Assurance · VMware to OpenShift Virtualization</w:t>
      </w:r>
    </w:p>
    <w:p>
      <w:pPr>
        <w:spacing w:after="120"/>
      </w:pPr>
      <w:r>
        <w:rPr>
          <w:i w:val="false"/>
          <w:iCs w:val="false"/>
        </w:rPr>
        <w:t xml:space="preserve">---</w:t>
      </w:r>
    </w:p>
    <w:p>
      <w:pPr>
        <w:pStyle w:val="Heading2"/>
        <w:spacing w:after="120" w:before="220"/>
      </w:pPr>
      <w:r>
        <w:t xml:space="preserve">RUNNING ORDER — record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Record this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is on screen</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Opening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1** — the title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30s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workflow</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2** — "Seven stages for cold, eight for warm"</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59s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live demo</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product** — VM Migration Agent in the browser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6m 40s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3** — the Thank you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41s</w:t>
            </w:r>
          </w:p>
        </w:tc>
      </w:tr>
    </w:tbl>
    <w:p/>
    <w:p>
      <w:pPr>
        <w:spacing w:after="120"/>
      </w:pPr>
      <w:r>
        <w:rPr>
          <w:i w:val="false"/>
          <w:iCs w:val="false"/>
        </w:rPr>
        <w:t xml:space="preserve">Slides 1 + 2 together: 89 seconds. Total spoken ≈ 8m 50s; finished video 10–11 minutes once pauses and transitions are added.</w:t>
      </w:r>
    </w:p>
    <w:p>
      <w:pPr>
        <w:spacing w:after="120"/>
      </w:pPr>
      <w:r>
        <w:rPr>
          <w:i w:val="false"/>
          <w:iCs w:val="false"/>
        </w:rPr>
        <w:t xml:space="preserve">Record each part as a separate clip. Clipchamp joins them cleanly, and a fumbled line then costs you one take instead of the whole video. Part 3 is itself six clips — see its own running order below.</w:t>
      </w:r>
    </w:p>
    <w:p>
      <w:pPr>
        <w:spacing w:after="120"/>
      </w:pPr>
      <w:r>
        <w:rPr>
          <w:i w:val="false"/>
          <w:iCs w:val="false"/>
        </w:rPr>
        <w:t xml:space="preserve">---</w:t>
      </w:r>
    </w:p>
    <w:p>
      <w:pPr>
        <w:pStyle w:val="Heading2"/>
        <w:spacing w:after="120" w:before="220"/>
      </w:pPr>
      <w:r>
        <w:t xml:space="preserve">How to read this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In the script</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**SAY:** followed by indented text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words you speak. Read them as written.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 SCREEN:**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should be visible before you start talking.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**DO:**</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to move the cursor, or what to click, *while* speaking.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**[beat]**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Stop for one second. Do not fill it. Silence reads as confidence.</w:t>
            </w:r>
          </w:p>
        </w:tc>
      </w:tr>
    </w:tbl>
    <w:p/>
    <w:p>
      <w:pPr>
        <w:spacing w:after="120"/>
      </w:pPr>
      <w:r>
        <w:rPr>
          <w:i w:val="false"/>
          <w:iCs w:val="false"/>
        </w:rPr>
        <w:t xml:space="preserve">---</w:t>
      </w:r>
    </w:p>
    <w:p>
      <w:pPr>
        <w:pStyle w:val="Heading2"/>
        <w:spacing w:after="120" w:before="220"/>
      </w:pPr>
      <w:r>
        <w:t xml:space="preserve">Before you press record</w:t>
      </w:r>
    </w:p>
    <w:p>
      <w:pPr>
        <w:spacing w:after="120"/>
      </w:pPr>
      <w:r>
        <w:rPr>
          <w:i w:val="false"/>
          <w:iCs w:val="false"/>
        </w:rPr>
        <w:t xml:space="preserve">1. Open the migration agent and turn on presentation mode (the ⤢ Present button, top right). Bigger type, prose hidden, fills the frame. 2. Make sure a completed migration is already showing in the history panel. A recording is not the place to wait for a transfer to finish. 3. Quit Slack and mail. Anything that can pop a notification. 4. Record at 1920×1080. If your laptop panel is 1366×768, plug in a monitor — the small text will not survive video compression otherwise. 5. Open the ServiceNow tab (CHG…) in a second browser tab, ready for Part 3 step 5.</w:t>
      </w:r>
    </w:p>
    <w:p>
      <w:pPr>
        <w:spacing w:after="120"/>
      </w:pPr>
      <w:r>
        <w:rPr>
          <w:i w:val="false"/>
          <w:iCs w:val="false"/>
        </w:rPr>
        <w:t xml:space="preserve">--- ---</w:t>
      </w:r>
    </w:p>
    <w:p>
      <w:pPr>
        <w:pStyle w:val="Heading1"/>
        <w:spacing w:after="120" w:before="220"/>
      </w:pPr>
      <w:r>
        <w:t xml:space="preserve">PART 1 — Opening  ·  Slide 1  ·  30s</w:t>
      </w:r>
    </w:p>
    <w:p>
      <w:pPr>
        <w:spacing w:after="120"/>
      </w:pPr>
      <w:r>
        <w:rPr>
          <w:i w:val="false"/>
          <w:iCs w:val="false"/>
        </w:rPr>
        <w:t xml:space="preserve">ON SCREEN: The title slide, full screen. DO: Two seconds of silence before your first word — it gives you a clean edit point in Clipchamp.</w:t>
      </w:r>
    </w:p>
    <w:p>
      <w:pPr>
        <w:spacing w:after="120"/>
      </w:pPr>
      <w:r>
        <w:rPr>
          <w:i w:val="false"/>
          <w:iCs w:val="false"/>
        </w:rPr>
        <w:t xml:space="preserve">SAY:  Welcome. [beat] This is the TCS Agentic AI-led VMware to OpenShift Migration Factory.  Copying disks is the easy part — Red Hat's Migration Toolkit does that. The hard part is knowing which can move, proving they landed, and who approved it.  [beat] Every other tool reads your source. This one runs inside the destination — so it answers what none of them can: will it run when it lands?</w:t>
      </w:r>
    </w:p>
    <w:p>
      <w:pPr>
        <w:spacing w:after="120"/>
      </w:pPr>
      <w:r>
        <w:rPr>
          <w:i w:val="false"/>
          <w:iCs w:val="false"/>
        </w:rPr>
        <w:t xml:space="preserve">→ Stop recording. That is Part 1.</w:t>
      </w:r>
    </w:p>
    <w:p>
      <w:pPr>
        <w:spacing w:after="120"/>
      </w:pPr>
      <w:r>
        <w:rPr>
          <w:i w:val="false"/>
          <w:iCs w:val="false"/>
        </w:rPr>
        <w:t xml:space="preserve">Four sentences, and every one earns its place: who this is, what is already solved, what is not, and the single line that separates this from every other assessment tool. Say the product name out loud — a viewer should never have to read it off the slide themselves.</w:t>
      </w:r>
    </w:p>
    <w:p>
      <w:pPr>
        <w:spacing w:after="120"/>
      </w:pPr>
      <w:r>
        <w:rPr>
          <w:i w:val="false"/>
          <w:iCs w:val="false"/>
        </w:rPr>
        <w:t xml:space="preserve">If this clip is intercut into a session where someone has already welcomed the room, drop the "Welcome" and open on the product name.</w:t>
      </w:r>
    </w:p>
    <w:p>
      <w:pPr>
        <w:spacing w:after="120"/>
      </w:pPr>
      <w:r>
        <w:rPr>
          <w:i w:val="false"/>
          <w:iCs w:val="false"/>
        </w:rPr>
        <w:t xml:space="preserve">--- ---</w:t>
      </w:r>
    </w:p>
    <w:p>
      <w:pPr>
        <w:pStyle w:val="Heading1"/>
        <w:spacing w:after="120" w:before="220"/>
      </w:pPr>
      <w:r>
        <w:t xml:space="preserve">PART 2 — The workflow  ·  Slide 2  ·  59s</w:t>
      </w:r>
    </w:p>
    <w:p>
      <w:pPr>
        <w:spacing w:after="120"/>
      </w:pPr>
      <w:r>
        <w:rPr>
          <w:i w:val="false"/>
          <w:iCs w:val="false"/>
        </w:rPr>
        <w:t xml:space="preserve">ON SCREEN: The slide headed "Seven stages for cold, eight for warm — they are different routes".</w:t>
      </w:r>
    </w:p>
    <w:p>
      <w:pPr>
        <w:spacing w:after="120"/>
      </w:pPr>
      <w:r>
        <w:rPr>
          <w:i w:val="false"/>
          <w:iCs w:val="false"/>
        </w:rPr>
        <w:t xml:space="preserve">Pace this one. It is the densest slide in the deck and the temptation is to explain everything on it. Do not — the workbook does that. Land the four moves below and move on.</w:t>
      </w:r>
    </w:p>
    <w:p>
      <w:pPr>
        <w:spacing w:after="120"/>
      </w:pPr>
      <w:r>
        <w:rPr>
          <w:i w:val="false"/>
          <w:iCs w:val="false"/>
        </w:rPr>
        <w:t xml:space="preserve">DO: Cursor rests on the slide title.</w:t>
      </w:r>
    </w:p>
    <w:p>
      <w:pPr>
        <w:spacing w:after="120"/>
      </w:pPr>
      <w:r>
        <w:rPr>
          <w:i w:val="false"/>
          <w:iCs w:val="false"/>
        </w:rPr>
        <w:t xml:space="preserve">SAY:  An assurance layer around that transfer engine. Three lanes — and why there are three is the point.</w:t>
      </w:r>
    </w:p>
    <w:p>
      <w:pPr>
        <w:spacing w:after="120"/>
      </w:pPr>
      <w:r>
        <w:rPr>
          <w:i w:val="false"/>
          <w:iCs w:val="false"/>
        </w:rPr>
        <w:t xml:space="preserve">DO: Run the cursor along the top BOTH row, left to right.</w:t>
      </w:r>
    </w:p>
    <w:p>
      <w:pPr>
        <w:spacing w:after="120"/>
      </w:pPr>
      <w:r>
        <w:rPr>
          <w:i w:val="false"/>
          <w:iCs w:val="false"/>
        </w:rPr>
        <w:t xml:space="preserve">SAY:  The top row is shared: discover, assess every machine, choose the wave, plan and approve.</w:t>
      </w:r>
    </w:p>
    <w:p>
      <w:pPr>
        <w:spacing w:after="120"/>
      </w:pPr>
      <w:r>
        <w:rPr>
          <w:i w:val="false"/>
          <w:iCs w:val="false"/>
        </w:rPr>
        <w:t xml:space="preserve">DO: Cursor on the COLD row, then the WARM row as you say each.</w:t>
      </w:r>
    </w:p>
    <w:p>
      <w:pPr>
        <w:spacing w:after="120"/>
      </w:pPr>
      <w:r>
        <w:rPr>
          <w:i w:val="false"/>
          <w:iCs w:val="false"/>
        </w:rPr>
        <w:t xml:space="preserve">SAY:  A cold migration powers the guest off first — the outage is the entire copy. Hours, for a large VM. [beat] A warm one copies while the guest keeps serving users, and the only downtime is the cutover at the end. Minutes.</w:t>
      </w:r>
    </w:p>
    <w:p>
      <w:pPr>
        <w:spacing w:after="120"/>
      </w:pPr>
      <w:r>
        <w:rPr>
          <w:i w:val="false"/>
          <w:iCs w:val="false"/>
        </w:rPr>
        <w:t xml:space="preserve">DO: Cursor on the greyed-out "no cutover step" box.</w:t>
      </w:r>
    </w:p>
    <w:p>
      <w:pPr>
        <w:spacing w:after="120"/>
      </w:pPr>
      <w:r>
        <w:rPr>
          <w:i w:val="false"/>
          <w:iCs w:val="false"/>
        </w:rPr>
        <w:t xml:space="preserve">SAY:  And cold has no cutover step at all — which is why these are two routes, not one pipeline with a checkbox.</w:t>
      </w:r>
    </w:p>
    <w:p>
      <w:pPr>
        <w:spacing w:after="120"/>
      </w:pPr>
      <w:r>
        <w:rPr>
          <w:i w:val="false"/>
          <w:iCs w:val="false"/>
        </w:rPr>
        <w:t xml:space="preserve">DO: Sweep the cursor across the four coloured chips.</w:t>
      </w:r>
    </w:p>
    <w:p>
      <w:pPr>
        <w:spacing w:after="120"/>
      </w:pPr>
      <w:r>
        <w:rPr>
          <w:i w:val="false"/>
          <w:iCs w:val="false"/>
        </w:rPr>
        <w:t xml:space="preserve">SAY:  Four guarantees throughout: nothing is written to vCenter, rules overrule the AI, the change board approves, and it stays reversible until the source VMs are deleted.</w:t>
      </w:r>
    </w:p>
    <w:p>
      <w:pPr>
        <w:spacing w:after="120"/>
      </w:pPr>
      <w:r>
        <w:rPr>
          <w:i w:val="false"/>
          <w:iCs w:val="false"/>
        </w:rPr>
        <w:t xml:space="preserve">DO: Cursor on the green line at the bottom.</w:t>
      </w:r>
    </w:p>
    <w:p>
      <w:pPr>
        <w:spacing w:after="120"/>
      </w:pPr>
      <w:r>
        <w:rPr>
          <w:i w:val="false"/>
          <w:iCs w:val="false"/>
        </w:rPr>
        <w:t xml:space="preserve">SAY:  Nothing moves until a plan is validated and a change approved — and this platform never deletes your source VM. Let me show you.</w:t>
      </w:r>
    </w:p>
    <w:p>
      <w:pPr>
        <w:spacing w:after="120"/>
      </w:pPr>
      <w:r>
        <w:rPr>
          <w:i w:val="false"/>
          <w:iCs w:val="false"/>
        </w:rPr>
        <w:t xml:space="preserve">→ Stop recording. That is Part 2.</w:t>
      </w:r>
    </w:p>
    <w:p>
      <w:pPr>
        <w:spacing w:after="120"/>
      </w:pPr>
      <w:r>
        <w:rPr>
          <w:i w:val="false"/>
          <w:iCs w:val="false"/>
        </w:rPr>
        <w:t xml:space="preserve">Slides 1 and 2 together: 89 seconds. Everything cut from this part — the three Red Hat support tiers, how the gate is re-read from the cluster, why assessment comes before selection — is said properly in Part 3, over the live product, where it is a demonstration rather than a claim.</w:t>
      </w:r>
    </w:p>
    <w:p>
      <w:pPr>
        <w:spacing w:after="120"/>
      </w:pPr>
      <w:r>
        <w:rPr>
          <w:i w:val="false"/>
          <w:iCs w:val="false"/>
        </w:rPr>
        <w:t xml:space="preserve">--- ---</w:t>
      </w:r>
    </w:p>
    <w:p>
      <w:pPr>
        <w:pStyle w:val="Heading1"/>
        <w:spacing w:after="120" w:before="220"/>
      </w:pPr>
      <w:r>
        <w:t xml:space="preserve">PART 3 — The live demo  ·  The product  ·  6m 30s</w:t>
      </w:r>
    </w:p>
    <w:p>
      <w:pPr>
        <w:spacing w:after="120"/>
      </w:pPr>
      <w:r>
        <w:rPr>
          <w:i w:val="false"/>
          <w:iCs w:val="false"/>
        </w:rPr>
        <w:t xml:space="preserve">Record this as six separate clips. If the cluster is slow, cut the waiting out between them — but leave the live transfer rate on screen for three or four seconds somewhere, so it is visibly real rather than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you show</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you land — readiness and history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55s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20s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and plan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change request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1m 10s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 cut over, verify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15s</w:t>
            </w:r>
          </w:p>
        </w:tc>
      </w:tr>
    </w:tbl>
    <w:p/>
    <w:p>
      <w:pPr>
        <w:spacing w:after="120"/>
      </w:pPr>
      <w:r>
        <w:rPr>
          <w:i w:val="false"/>
          <w:iCs w:val="false"/>
        </w:rPr>
        <w:t xml:space="preserve">---</w:t>
      </w:r>
    </w:p>
    <w:p>
      <w:pPr>
        <w:pStyle w:val="Heading3"/>
        <w:spacing w:after="120" w:before="220"/>
      </w:pPr>
      <w:r>
        <w:t xml:space="preserve">3.1 — Where you land  ·  50s</w:t>
      </w:r>
    </w:p>
    <w:p>
      <w:pPr>
        <w:spacing w:after="120"/>
      </w:pPr>
      <w:r>
        <w:rPr>
          <w:i w:val="false"/>
          <w:iCs w:val="false"/>
        </w:rPr>
        <w:t xml:space="preserve">ON SCREEN: Automation Hub → VM Migration Agent, presentation mode on, sitting on step 1.</w:t>
      </w:r>
    </w:p>
    <w:p>
      <w:pPr>
        <w:spacing w:after="120"/>
      </w:pPr>
      <w:r>
        <w:rPr>
          <w:i w:val="false"/>
          <w:iCs w:val="false"/>
        </w:rPr>
        <w:t xml:space="preserve">SAY:  This is the agent. Four steps across the top, and a readiness banner — it has already checked that the Migration Toolkit is installed, configured, and that this service account can actually read it.</w:t>
      </w:r>
    </w:p>
    <w:p>
      <w:pPr>
        <w:spacing w:after="120"/>
      </w:pPr>
      <w:r>
        <w:rPr>
          <w:i w:val="false"/>
          <w:iCs w:val="false"/>
        </w:rPr>
        <w:t xml:space="preserve">DO: Cursor on the Migration history panel.</w:t>
      </w:r>
    </w:p>
    <w:p>
      <w:pPr>
        <w:spacing w:after="120"/>
      </w:pPr>
      <w:r>
        <w:rPr>
          <w:i w:val="false"/>
          <w:iCs w:val="false"/>
        </w:rPr>
        <w:t xml:space="preserve">SAY:  And before anything else — migration history. Past migrations, what each one took against its estimate, the change request it ran under, and what the AI cost that run. This survives a rollback deleting the plan, a pod restart, and a different person opening this tomorrow — because it is kept in a database, not in this browser tab.</w:t>
      </w:r>
    </w:p>
    <w:p>
      <w:pPr>
        <w:spacing w:after="120"/>
      </w:pPr>
      <w:r>
        <w:rPr>
          <w:i w:val="false"/>
          <w:iCs w:val="false"/>
        </w:rPr>
        <w:t xml:space="preserve">---</w:t>
      </w:r>
    </w:p>
    <w:p>
      <w:pPr>
        <w:pStyle w:val="Heading3"/>
        <w:spacing w:after="120" w:before="220"/>
      </w:pPr>
      <w:r>
        <w:t xml:space="preserve">3.2 — Discover  ·  55s</w:t>
      </w:r>
    </w:p>
    <w:p>
      <w:pPr>
        <w:spacing w:after="120"/>
      </w:pPr>
      <w:r>
        <w:rPr>
          <w:i w:val="false"/>
          <w:iCs w:val="false"/>
        </w:rPr>
        <w:t xml:space="preserve">DO: Choose the vSphere provider. Click Discover VMs.</w:t>
      </w:r>
    </w:p>
    <w:p>
      <w:pPr>
        <w:spacing w:after="120"/>
      </w:pPr>
      <w:r>
        <w:rPr>
          <w:i w:val="false"/>
          <w:iCs w:val="false"/>
        </w:rPr>
        <w:t xml:space="preserve">SAY:  Pick the source, discover. [beat] That is a read-only inventory call — operating system, addresses, CPU, memory, every disk.</w:t>
      </w:r>
    </w:p>
    <w:p>
      <w:pPr>
        <w:spacing w:after="120"/>
      </w:pPr>
      <w:r>
        <w:rPr>
          <w:i w:val="false"/>
          <w:iCs w:val="false"/>
        </w:rPr>
        <w:t xml:space="preserve">DO: Scroll the discovered list slowly.</w:t>
      </w:r>
    </w:p>
    <w:p>
      <w:pPr>
        <w:spacing w:after="120"/>
      </w:pPr>
      <w:r>
        <w:rPr>
          <w:i w:val="false"/>
          <w:iCs w:val="false"/>
        </w:rPr>
        <w:t xml:space="preserve">SAY:  Two details worth calling out. First, there is no tick box here — you cannot select machines yet, and that is deliberate.  Second, the guest operating system is a real name, not a vSphere code. vCenter reports windows2019srvNext_64Guest — which means Windows Server 2022, not 2019. srvNext means the release after the one it names. Get that wrong across an estate and half your Windows machines are assessed against the wrong support matrix.</w:t>
      </w:r>
    </w:p>
    <w:p>
      <w:pPr>
        <w:spacing w:after="120"/>
      </w:pPr>
      <w:r>
        <w:rPr>
          <w:i w:val="false"/>
          <w:iCs w:val="false"/>
        </w:rPr>
        <w:t xml:space="preserve">---</w:t>
      </w:r>
    </w:p>
    <w:p>
      <w:pPr>
        <w:pStyle w:val="Heading3"/>
        <w:spacing w:after="120" w:before="220"/>
      </w:pPr>
      <w:r>
        <w:t xml:space="preserve">3.3 — Analyse  ·  2m 20s</w:t>
      </w:r>
    </w:p>
    <w:p>
      <w:pPr>
        <w:spacing w:after="120"/>
      </w:pPr>
      <w:r>
        <w:rPr>
          <w:i w:val="false"/>
          <w:iCs w:val="false"/>
        </w:rPr>
        <w:t xml:space="preserve">DO: Click through to step 2.</w:t>
      </w:r>
    </w:p>
    <w:p>
      <w:pPr>
        <w:spacing w:after="120"/>
      </w:pPr>
      <w:r>
        <w:rPr>
          <w:i w:val="false"/>
          <w:iCs w:val="false"/>
        </w:rPr>
        <w:t xml:space="preserve">SAY:  Now it assesses every machine — and this is that ordering point from the slide. You cannot sensibly choose what to migrate until you know what can be migrated. Pick first, and you are picking blind.</w:t>
      </w:r>
    </w:p>
    <w:p>
      <w:pPr>
        <w:spacing w:after="120"/>
      </w:pPr>
      <w:r>
        <w:rPr>
          <w:i w:val="false"/>
          <w:iCs w:val="false"/>
        </w:rPr>
        <w:t xml:space="preserve">ON SCREEN: The report has landed. DO: Cursor on the donut charts.</w:t>
      </w:r>
    </w:p>
    <w:p>
      <w:pPr>
        <w:spacing w:after="120"/>
      </w:pPr>
      <w:r>
        <w:rPr>
          <w:i w:val="false"/>
          <w:iCs w:val="false"/>
        </w:rPr>
        <w:t xml:space="preserve">SAY:  Ready, with caveats, needs review, blocked — grouped by operating system family. Underneath each one, the compute and storage it carries, because "twelve VMs" and "twelve VMs totalling four terabytes" are different problems.</w:t>
      </w:r>
    </w:p>
    <w:p>
      <w:pPr>
        <w:spacing w:after="120"/>
      </w:pPr>
      <w:r>
        <w:rPr>
          <w:i w:val="false"/>
          <w:iCs w:val="false"/>
        </w:rPr>
        <w:t xml:space="preserve">DO: Cursor on the "Will it fit?" panel.</w:t>
      </w:r>
    </w:p>
    <w:p>
      <w:pPr>
        <w:spacing w:after="120"/>
      </w:pPr>
      <w:r>
        <w:rPr>
          <w:i w:val="false"/>
          <w:iCs w:val="false"/>
        </w:rPr>
        <w:t xml:space="preserve">SAY:  This is the check nobody else makes. On OpenShift Virtualization a VM is a pod — it has to fit on one node. A sixty-four gig guest on thirty-two gig workers will copy perfectly, and then sit Pending for ever, after you have already spent the outage. We only know that because we are running inside the destination.</w:t>
      </w:r>
    </w:p>
    <w:p>
      <w:pPr>
        <w:spacing w:after="120"/>
      </w:pPr>
      <w:r>
        <w:rPr>
          <w:i w:val="false"/>
          <w:iCs w:val="false"/>
        </w:rPr>
        <w:t xml:space="preserve">DO: Cursor on the support-by-distribution bars.</w:t>
      </w:r>
    </w:p>
    <w:p>
      <w:pPr>
        <w:spacing w:after="120"/>
      </w:pPr>
      <w:r>
        <w:rPr>
          <w:i w:val="false"/>
          <w:iCs w:val="false"/>
        </w:rPr>
        <w:t xml:space="preserve">SAY:  Guest support against Red Hat's certified list — and Red Hat publishes three tiers, not two. Certified, vendor-supported, and known-to-run. The difference between them only shows up when you open a support case.</w:t>
      </w:r>
    </w:p>
    <w:p>
      <w:pPr>
        <w:spacing w:after="120"/>
      </w:pPr>
      <w:r>
        <w:rPr>
          <w:i w:val="false"/>
          <w:iCs w:val="false"/>
        </w:rPr>
        <w:t xml:space="preserve">DO: Click a VM row to expand it.</w:t>
      </w:r>
    </w:p>
    <w:p>
      <w:pPr>
        <w:spacing w:after="120"/>
      </w:pPr>
      <w:r>
        <w:rPr>
          <w:i w:val="false"/>
          <w:iCs w:val="false"/>
        </w:rPr>
        <w:t xml:space="preserve">SAY:  And per machine, what to change. Snapshots, VMware Tools, virtual TPM, pass-through devices. [beat] The rule underneath all of this is the one I would most want you to remember: a check that could not run is never reported as a pass. If the inventory did not tell us, it says so. Silence never looks like a clean bill of health.</w:t>
      </w:r>
    </w:p>
    <w:p>
      <w:pPr>
        <w:spacing w:after="120"/>
      </w:pPr>
      <w:r>
        <w:rPr>
          <w:i w:val="false"/>
          <w:iCs w:val="false"/>
        </w:rPr>
        <w:t xml:space="preserve">DO: Cursor on the AI usage cell in the report header.</w:t>
      </w:r>
    </w:p>
    <w:p>
      <w:pPr>
        <w:spacing w:after="120"/>
      </w:pPr>
      <w:r>
        <w:rPr>
          <w:i w:val="false"/>
          <w:iCs w:val="false"/>
        </w:rPr>
        <w:t xml:space="preserve">SAY:  And the AI. Two calls — for the whole fleet. Tokens, and the cost, with the arithmetic behind it if you click. The verdicts, the checks, the capacity answer and the estimate are all computed. The model is asked one thing: warm or cold, per machine, and why.</w:t>
      </w:r>
    </w:p>
    <w:p>
      <w:pPr>
        <w:spacing w:after="120"/>
      </w:pPr>
      <w:r>
        <w:rPr>
          <w:i w:val="false"/>
          <w:iCs w:val="false"/>
        </w:rPr>
        <w:t xml:space="preserve">---</w:t>
      </w:r>
    </w:p>
    <w:p>
      <w:pPr>
        <w:pStyle w:val="Heading3"/>
        <w:spacing w:after="120" w:before="220"/>
      </w:pPr>
      <w:r>
        <w:t xml:space="preserve">3.4 — Select and plan  ·  50s</w:t>
      </w:r>
    </w:p>
    <w:p>
      <w:pPr>
        <w:spacing w:after="120"/>
      </w:pPr>
      <w:r>
        <w:rPr>
          <w:i w:val="false"/>
          <w:iCs w:val="false"/>
        </w:rPr>
        <w:t xml:space="preserve">DO: Go to step 3. Change one machine's method to show it is editable.</w:t>
      </w:r>
    </w:p>
    <w:p>
      <w:pPr>
        <w:spacing w:after="120"/>
      </w:pPr>
      <w:r>
        <w:rPr>
          <w:i w:val="false"/>
          <w:iCs w:val="false"/>
        </w:rPr>
        <w:t xml:space="preserve">SAY:  Eligible machines are pre-ticked with the method the report recommends — a starting point, not a decision. Everything is editable, and warm is only ever offered where it can physically work.</w:t>
      </w:r>
    </w:p>
    <w:p>
      <w:pPr>
        <w:spacing w:after="120"/>
      </w:pPr>
      <w:r>
        <w:rPr>
          <w:i w:val="false"/>
          <w:iCs w:val="false"/>
        </w:rPr>
        <w:t xml:space="preserve">DO: Go to step 4. Cursor on the estimate panel.</w:t>
      </w:r>
    </w:p>
    <w:p>
      <w:pPr>
        <w:spacing w:after="120"/>
      </w:pPr>
      <w:r>
        <w:rPr>
          <w:i w:val="false"/>
          <w:iCs w:val="false"/>
        </w:rPr>
        <w:t xml:space="preserve">SAY:  Then the estimate — from throughput this cluster has actually achieved, not a vendor number. Transfer time and downtime stated separately, and costed both with and without the VDDK image, so that choice is a number rather than a link to a document.</w:t>
      </w:r>
    </w:p>
    <w:p>
      <w:pPr>
        <w:spacing w:after="120"/>
      </w:pPr>
      <w:r>
        <w:rPr>
          <w:i w:val="false"/>
          <w:iCs w:val="false"/>
        </w:rPr>
        <w:t xml:space="preserve">DO: Click Create plan(s).</w:t>
      </w:r>
    </w:p>
    <w:p>
      <w:pPr>
        <w:spacing w:after="120"/>
      </w:pPr>
      <w:r>
        <w:rPr>
          <w:i w:val="false"/>
          <w:iCs w:val="false"/>
        </w:rPr>
        <w:t xml:space="preserve">SAY:  Create the plans. [beat] MTV validates them — and nothing has moved.</w:t>
      </w:r>
    </w:p>
    <w:p>
      <w:pPr>
        <w:spacing w:after="120"/>
      </w:pPr>
      <w:r>
        <w:rPr>
          <w:i w:val="false"/>
          <w:iCs w:val="false"/>
        </w:rPr>
        <w:t xml:space="preserve">---</w:t>
      </w:r>
    </w:p>
    <w:p>
      <w:pPr>
        <w:pStyle w:val="Heading3"/>
        <w:spacing w:after="120" w:before="220"/>
      </w:pPr>
      <w:r>
        <w:t xml:space="preserve">3.5 — The change request  ·  1m 10s</w:t>
      </w:r>
    </w:p>
    <w:p>
      <w:pPr>
        <w:spacing w:after="120"/>
      </w:pPr>
      <w:r>
        <w:rPr>
          <w:i w:val="false"/>
          <w:iCs w:val="false"/>
        </w:rPr>
        <w:t xml:space="preserve">DO: Click Raise change request.</w:t>
      </w:r>
    </w:p>
    <w:p>
      <w:pPr>
        <w:spacing w:after="120"/>
      </w:pPr>
      <w:r>
        <w:rPr>
          <w:i w:val="false"/>
          <w:iCs w:val="false"/>
        </w:rPr>
        <w:t xml:space="preserve">SAY:  Now the governance. The platform authors the change request itself: the machines, the estimate, the implementation plan, the backout plan, the test plan.</w:t>
      </w:r>
    </w:p>
    <w:p>
      <w:pPr>
        <w:spacing w:after="120"/>
      </w:pPr>
      <w:r>
        <w:rPr>
          <w:i w:val="false"/>
          <w:iCs w:val="false"/>
        </w:rPr>
        <w:t xml:space="preserve">DO: Cursor on the window dates.</w:t>
      </w:r>
    </w:p>
    <w:p>
      <w:pPr>
        <w:spacing w:after="120"/>
      </w:pPr>
      <w:r>
        <w:rPr>
          <w:i w:val="false"/>
          <w:iCs w:val="false"/>
        </w:rPr>
        <w:t xml:space="preserve">SAY:  And it sizes the window properly. That is the implementation window, not the outage — pre-checks, the work, verification, time to back out, and contingency. A window sized to the downtime has no room to put things back if it goes wrong, which is how you end up doing unapproved work in the middle of an incident.  Both numbers go on the record. A four-hour window, in which the service is down for seven minutes. Saying both is what makes it an honest request rather than an alarming one.</w:t>
      </w:r>
    </w:p>
    <w:p>
      <w:pPr>
        <w:spacing w:after="120"/>
      </w:pPr>
      <w:r>
        <w:rPr>
          <w:i w:val="false"/>
          <w:iCs w:val="false"/>
        </w:rPr>
        <w:t xml:space="preserve">DO: Switch to the ServiceNow tab. Show the attachment on the change record.</w:t>
      </w:r>
    </w:p>
    <w:p>
      <w:pPr>
        <w:spacing w:after="120"/>
      </w:pPr>
      <w:r>
        <w:rPr>
          <w:i w:val="false"/>
          <w:iCs w:val="false"/>
        </w:rPr>
        <w:t xml:space="preserve">SAY:  And the full migration record is attached to the ticket. Every VM, how it moves, the service impact, how to back out, what the model contributed. A description field is a poor place for a table of machines.</w:t>
      </w:r>
    </w:p>
    <w:p>
      <w:pPr>
        <w:spacing w:after="120"/>
      </w:pPr>
      <w:r>
        <w:rPr>
          <w:i w:val="false"/>
          <w:iCs w:val="false"/>
        </w:rPr>
        <w:t xml:space="preserve">---</w:t>
      </w:r>
    </w:p>
    <w:p>
      <w:pPr>
        <w:pStyle w:val="Heading3"/>
        <w:spacing w:after="120" w:before="220"/>
      </w:pPr>
      <w:r>
        <w:t xml:space="preserve">3.6 — Migrate, cut over, verify  ·  2m 15s</w:t>
      </w:r>
    </w:p>
    <w:p>
      <w:pPr>
        <w:spacing w:after="120"/>
      </w:pPr>
      <w:r>
        <w:rPr>
          <w:i w:val="false"/>
          <w:iCs w:val="false"/>
        </w:rPr>
        <w:t xml:space="preserve">DO: Back to the console, on a transfer that is running or already finished.</w:t>
      </w:r>
    </w:p>
    <w:p>
      <w:pPr>
        <w:spacing w:after="120"/>
      </w:pPr>
      <w:r>
        <w:rPr>
          <w:i w:val="false"/>
          <w:iCs w:val="false"/>
        </w:rPr>
        <w:t xml:space="preserve">SAY:  Once it is approved, a human clicks migrate — and the server re-reads that approval from the cluster before it acts. An enabled button is not authorisation.</w:t>
      </w:r>
    </w:p>
    <w:p>
      <w:pPr>
        <w:spacing w:after="120"/>
      </w:pPr>
      <w:r>
        <w:rPr>
          <w:i w:val="false"/>
          <w:iCs w:val="false"/>
        </w:rPr>
        <w:t xml:space="preserve">DO: Cursor on the live figures — MB moved, MiB/s, percent.</w:t>
      </w:r>
    </w:p>
    <w:p>
      <w:pPr>
        <w:spacing w:after="120"/>
      </w:pPr>
      <w:r>
        <w:rPr>
          <w:i w:val="false"/>
          <w:iCs w:val="false"/>
        </w:rPr>
        <w:t xml:space="preserve">SAY:  While it runs: megabytes moved of total, the live rate, percent complete. The same three numbers MTV's own console shows, in the same units — so you can read the two screens side by side without having to reconcile them.</w:t>
      </w:r>
    </w:p>
    <w:p>
      <w:pPr>
        <w:spacing w:after="120"/>
      </w:pPr>
      <w:r>
        <w:rPr>
          <w:i w:val="false"/>
          <w:iCs w:val="false"/>
        </w:rPr>
        <w:t xml:space="preserve">DO: Cursor on the cutover panel.</w:t>
      </w:r>
    </w:p>
    <w:p>
      <w:pPr>
        <w:spacing w:after="120"/>
      </w:pPr>
      <w:r>
        <w:rPr>
          <w:i w:val="false"/>
          <w:iCs w:val="false"/>
        </w:rPr>
        <w:t xml:space="preserve">SAY:  Then, on a warm migration, it stops — and this is the part people find surprising. The copy is finished. The guest is still serving users. Nothing more happens until somebody says it may go down, because that is the outage.  So the cutover is gated on the change request, not on a button being present. Inside the approved window, you can go now. Before it, you schedule it — and MTV performs it with nobody watching. [beat] And if the change board moves the window, the scheduled cutover follows it.</w:t>
      </w:r>
    </w:p>
    <w:p>
      <w:pPr>
        <w:spacing w:after="120"/>
      </w:pPr>
      <w:r>
        <w:rPr>
          <w:i w:val="false"/>
          <w:iCs w:val="false"/>
        </w:rPr>
        <w:t xml:space="preserve">DO: Cursor on the verification panel.</w:t>
      </w:r>
    </w:p>
    <w:p>
      <w:pPr>
        <w:spacing w:after="120"/>
      </w:pPr>
      <w:r>
        <w:rPr>
          <w:i w:val="false"/>
          <w:iCs w:val="false"/>
        </w:rPr>
        <w:t xml:space="preserve">SAY:  Then verification — because "Succeeded" on a plan describes the transfer, not the machine. Is it running. Did it keep its address. Did every disk come across. Does it match the shape that was promised.</w:t>
      </w:r>
    </w:p>
    <w:p>
      <w:pPr>
        <w:spacing w:after="120"/>
      </w:pPr>
      <w:r>
        <w:rPr>
          <w:i w:val="false"/>
          <w:iCs w:val="false"/>
        </w:rPr>
        <w:t xml:space="preserve">DO: Cursor on the "Source VM is powered off" check.</w:t>
      </w:r>
    </w:p>
    <w:p>
      <w:pPr>
        <w:spacing w:after="120"/>
      </w:pPr>
      <w:r>
        <w:rPr>
          <w:i w:val="false"/>
          <w:iCs w:val="false"/>
        </w:rPr>
        <w:t xml:space="preserve">SAY:  And this one. Is the source VM powered off. If both are running, you have two copies of one identity on one network, each writing to storage the other cannot see — and whichever one loses is the one somebody was using. That is the failure nobody plans for.  A passing verification closes the change request with the results. A failed one closes nothing.</w:t>
      </w:r>
    </w:p>
    <w:p>
      <w:pPr>
        <w:spacing w:after="120"/>
      </w:pPr>
      <w:r>
        <w:rPr>
          <w:i w:val="false"/>
          <w:iCs w:val="false"/>
        </w:rPr>
        <w:t xml:space="preserve">DO: Cursor on the decommission panel.</w:t>
      </w:r>
    </w:p>
    <w:p>
      <w:pPr>
        <w:spacing w:after="120"/>
      </w:pPr>
      <w:r>
        <w:rPr>
          <w:i w:val="false"/>
          <w:iCs w:val="false"/>
        </w:rPr>
        <w:t xml:space="preserve">SAY:  And the last step is the only irreversible one — deleting the source. That is a second change request, after a soak period. And even then this platform does not do the deleting. It raises the request; your VMware team carries it out.</w:t>
      </w:r>
    </w:p>
    <w:p>
      <w:pPr>
        <w:spacing w:after="120"/>
      </w:pPr>
      <w:r>
        <w:rPr>
          <w:i w:val="false"/>
          <w:iCs w:val="false"/>
        </w:rPr>
        <w:t xml:space="preserve">→ Stop recording. That is Part 3.</w:t>
      </w:r>
    </w:p>
    <w:p>
      <w:pPr>
        <w:spacing w:after="120"/>
      </w:pPr>
      <w:r>
        <w:rPr>
          <w:i w:val="false"/>
          <w:iCs w:val="false"/>
        </w:rPr>
        <w:t xml:space="preserve">--- ---</w:t>
      </w:r>
    </w:p>
    <w:p>
      <w:pPr>
        <w:pStyle w:val="Heading1"/>
        <w:spacing w:after="120" w:before="220"/>
      </w:pPr>
      <w:r>
        <w:t xml:space="preserve">PART 4 — Closing  ·  Slide 3  ·  40s</w:t>
      </w:r>
    </w:p>
    <w:p>
      <w:pPr>
        <w:spacing w:after="120"/>
      </w:pPr>
      <w:r>
        <w:rPr>
          <w:i w:val="false"/>
          <w:iCs w:val="false"/>
        </w:rPr>
        <w:t xml:space="preserve">ON SCREEN: The Thank you slide.</w:t>
      </w:r>
    </w:p>
    <w:p>
      <w:pPr>
        <w:spacing w:after="120"/>
      </w:pPr>
      <w:r>
        <w:rPr>
          <w:i w:val="false"/>
          <w:iCs w:val="false"/>
        </w:rPr>
        <w:t xml:space="preserve">SAY:  So — to close where we started. [beat]  The copying was never the hard part. What makes a migration programme succeed is knowing what can move before you move it, proving it landed properly afterwards, and being able to show someone in six months exactly what happened and who approved it.  Read-only discovery. Assessed against the target, not just the source. The AI where judgement is genuinely needed, and measurement everywhere a fact exists. A human on both irreversible acts. And your source VM — still sitting there, powered off and intact, until you decide otherwise.  [beat] Thank you.</w:t>
      </w:r>
    </w:p>
    <w:p>
      <w:pPr>
        <w:spacing w:after="120"/>
      </w:pPr>
      <w:r>
        <w:rPr>
          <w:i w:val="false"/>
          <w:iCs w:val="false"/>
        </w:rPr>
        <w:t xml:space="preserve">DO: Hold two seconds of silence before you stop recording.</w:t>
      </w:r>
    </w:p>
    <w:p>
      <w:pPr>
        <w:spacing w:after="120"/>
      </w:pPr>
      <w:r>
        <w:rPr>
          <w:i w:val="false"/>
          <w:iCs w:val="false"/>
        </w:rPr>
        <w:t xml:space="preserve">→ That is Part 4. Done.</w:t>
      </w:r>
    </w:p>
    <w:p>
      <w:pPr>
        <w:spacing w:after="120"/>
      </w:pPr>
      <w:r>
        <w:rPr>
          <w:i w:val="false"/>
          <w:iCs w:val="false"/>
        </w:rPr>
        <w:t xml:space="preserve">--- ---</w:t>
      </w:r>
    </w:p>
    <w:p>
      <w:pPr>
        <w:pStyle w:val="Heading2"/>
        <w:spacing w:after="120" w:before="220"/>
      </w:pPr>
      <w:r>
        <w:t xml:space="preserve">If you need it shorter</w:t>
      </w:r>
    </w:p>
    <w:p>
      <w:pPr>
        <w:spacing w:after="120"/>
      </w:pPr>
      <w:r>
        <w:rPr>
          <w:i w:val="false"/>
          <w:iCs w:val="false"/>
        </w:rPr>
        <w:t xml:space="preserve">Cut 3.4 and 3.5 down to one sentence each. The plan and the change request are the least surprising parts of the story, and the workbook covers them in detail. That takes you to roughly 8 minutes 30 seconds.</w:t>
      </w:r>
    </w:p>
    <w:p>
      <w:pPr>
        <w:pStyle w:val="Heading2"/>
        <w:spacing w:after="120" w:before="220"/>
      </w:pPr>
      <w:r>
        <w:t xml:space="preserve">Three lines worth landing properly</w:t>
      </w:r>
    </w:p>
    <w:p>
      <w:pPr>
        <w:spacing w:after="120"/>
      </w:pPr>
      <w:r>
        <w:rPr>
          <w:i w:val="false"/>
          <w:iCs w:val="false"/>
        </w:rPr>
        <w:t xml:space="preserve">If anything gets rushed, do not let it be these:</w:t>
      </w:r>
    </w:p>
    <w:p>
      <w:pPr>
        <w:spacing w:after="120"/>
      </w:pPr>
      <w:r>
        <w:rPr>
          <w:i w:val="false"/>
          <w:iCs w:val="false"/>
        </w:rPr>
        <w:t xml:space="preserve">1. "Every other tool reads the source. This one runs inside the destination." 2. "A VM is a pod — it has to fit on one node." 3. "A check that could not run is never reported as a pass."</w:t>
      </w:r>
    </w:p>
    <w:p>
      <w:pPr>
        <w:pStyle w:val="Heading2"/>
        <w:spacing w:after="120" w:before="220"/>
      </w:pPr>
      <w:r>
        <w:t xml:space="preserve">One thing not to do</w:t>
      </w:r>
    </w:p>
    <w:p>
      <w:pPr>
        <w:spacing w:after="120"/>
      </w:pPr>
      <w:r>
        <w:rPr>
          <w:i w:val="false"/>
          <w:iCs w:val="false"/>
        </w:rPr>
        <w:t xml:space="preserve">Do not claim a number that is not on the screen. If the AI cost cell reads "—" because the provider did not report usage, say so and move on. The product is built to be honest about exactly that, and a demo that glosses over it undercuts the thing you are selling.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2026-09-11T09:51:48.337Z</dcterms:created>
  <dcterms:modified xsi:type="dcterms:W3CDTF">2026-09-11T09:51:48.337Z</dcterms:modified>
</cp:coreProperties>
</file>

<file path=docProps/custom.xml><?xml version="1.0" encoding="utf-8"?>
<Properties xmlns="http://schemas.openxmlformats.org/officeDocument/2006/custom-properties" xmlns:vt="http://schemas.openxmlformats.org/officeDocument/2006/docPropsVTypes"/>
</file>