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120" w:before="0"/>
        <w:jc w:val="center"/>
      </w:pPr>
      <w:r>
        <w:rPr>
          <w:rFonts w:ascii="Arial" w:cs="Arial" w:eastAsia="Arial" w:hAnsi="Arial"/>
          <w:b/>
          <w:bCs/>
          <w:color w:val="FF7A18"/>
          <w:spacing w:val="60"/>
          <w:sz w:val="56"/>
          <w:szCs w:val="56"/>
        </w:rPr>
        <w:t xml:space="preserve">ARGANO</w:t>
      </w:r>
    </w:p>
    <w:p>
      <w:pPr>
        <w:spacing w:after="80" w:before="0"/>
        <w:jc w:val="center"/>
      </w:pPr>
      <w:r>
        <w:rPr>
          <w:rFonts w:ascii="Arial" w:cs="Arial" w:eastAsia="Arial" w:hAnsi="Arial"/>
          <w:color w:val="475569"/>
          <w:sz w:val="26"/>
          <w:szCs w:val="26"/>
        </w:rPr>
        <w:t xml:space="preserve">Connected Cloud · Oracle CX Practice</w:t>
      </w:r>
    </w:p>
    <w:p>
      <w:pPr>
        <w:pBdr>
          <w:bottom w:val="single" w:color="E2E8F0" w:sz="4" w:space="1"/>
        </w:pBdr>
        <w:spacing w:after="120" w:before="120"/>
      </w:pPr>
      <w:r>
        <w:t xml:space="preserve"/>
      </w:r>
    </w:p>
    <w:p>
      <w:pPr>
        <w:spacing w:after="60" w:before="120"/>
        <w:jc w:val="center"/>
      </w:pPr>
      <w:r>
        <w:rPr>
          <w:rFonts w:ascii="Arial" w:cs="Arial" w:eastAsia="Arial" w:hAnsi="Arial"/>
          <w:b/>
          <w:bCs/>
          <w:color w:val="0F172A"/>
          <w:sz w:val="52"/>
          <w:szCs w:val="52"/>
        </w:rPr>
        <w:t xml:space="preserve">Oracle CX Demo Playbook</w:t>
      </w:r>
    </w:p>
    <w:p>
      <w:pPr>
        <w:spacing w:after="60" w:before="0"/>
        <w:jc w:val="center"/>
      </w:pPr>
      <w:r>
        <w:rPr>
          <w:rFonts w:ascii="Arial" w:cs="Arial" w:eastAsia="Arial" w:hAnsi="Arial"/>
          <w:color w:val="475569"/>
          <w:sz w:val="32"/>
          <w:szCs w:val="32"/>
        </w:rPr>
        <w:t xml:space="preserve">Persona-Based Demo Scripts</w:t>
      </w:r>
    </w:p>
    <w:p>
      <w:pPr>
        <w:spacing w:after="60" w:before="60"/>
        <w:jc w:val="center"/>
      </w:pPr>
      <w:r>
        <w:rPr>
          <w:rFonts w:ascii="Arial" w:cs="Arial" w:eastAsia="Arial" w:hAnsi="Arial"/>
          <w:i/>
          <w:iCs/>
          <w:color w:val="475569"/>
          <w:sz w:val="22"/>
          <w:szCs w:val="22"/>
        </w:rPr>
        <w:t xml:space="preserve">For use with the OracleCXMocks Demo Environment</w:t>
      </w:r>
    </w:p>
    <w:p>
      <w:pPr>
        <w:spacing w:after="0" w:before="0"/>
      </w:pPr>
      <w:r>
        <w:t xml:space="preserve"/>
      </w:r>
    </w:p>
    <w:p>
      <w:pPr>
        <w:spacing w:after="0" w:before="0"/>
      </w:pPr>
      <w:r>
        <w:t xml:space="preserve"/>
      </w:r>
    </w:p>
    <w:p>
      <w:pPr>
        <w:spacing w:after="0" w:before="0"/>
      </w:pPr>
      <w:r>
        <w:t xml:space="preserve"/>
      </w:r>
    </w:p>
    <w:p>
      <w:pPr>
        <w:jc w:val="center"/>
      </w:pPr>
      <w:r>
        <w:rPr>
          <w:rFonts w:ascii="Arial" w:cs="Arial" w:eastAsia="Arial" w:hAnsi="Arial"/>
          <w:color w:val="475569"/>
          <w:sz w:val="22"/>
          <w:szCs w:val="22"/>
        </w:rPr>
        <w:t xml:space="preserve">Prepared by Chandra Kasarabada · Principal Solutions Architect</w:t>
      </w:r>
    </w:p>
    <w:p>
      <w:pPr>
        <w:jc w:val="center"/>
      </w:pPr>
      <w:r>
        <w:rPr>
          <w:rFonts w:ascii="Arial" w:cs="Arial" w:eastAsia="Arial" w:hAnsi="Arial"/>
          <w:color w:val="475569"/>
          <w:sz w:val="22"/>
          <w:szCs w:val="22"/>
        </w:rPr>
        <w:t xml:space="preserve">Argano · Oracle CX / CPQ / ICM Practice · May 2026</w:t>
      </w:r>
    </w:p>
    <w:p>
      <w:pPr>
        <w:spacing w:after="0" w:before="0"/>
      </w:pPr>
      <w:r>
        <w:t xml:space="preserve"/>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FFF7F0" w:val="clear"/>
            <w:tcMar>
              <w:top w:type="dxa" w:w="100"/>
              <w:left w:type="dxa" w:w="80"/>
              <w:bottom w:type="dxa" w:w="100"/>
              <w:right w:type="dxa" w:w="80"/>
            </w:tcMar>
          </w:tcPr>
          <w:p>
            <w:pPr>
              <w:jc w:val="center"/>
            </w:pPr>
            <w:r>
              <w:rPr>
                <w:rFonts w:ascii="Arial" w:cs="Arial" w:eastAsia="Arial" w:hAnsi="Arial"/>
                <w:b/>
                <w:bCs/>
                <w:color w:val="0F172A"/>
                <w:sz w:val="18"/>
                <w:szCs w:val="18"/>
              </w:rPr>
              <w:t xml:space="preserve">📊 Sales VP / CRO</w:t>
            </w:r>
          </w:p>
        </w:tc>
        <w:tc>
          <w:tcPr>
            <w:tcW w:type="dxa" w:w="1872"/>
            <w:tcBorders>
              <w:top w:val="none" w:color="FFFFFF" w:sz="0"/>
              <w:left w:val="none" w:color="FFFFFF" w:sz="0"/>
              <w:bottom w:val="none" w:color="FFFFFF" w:sz="0"/>
              <w:right w:val="none" w:color="FFFFFF" w:sz="0"/>
            </w:tcBorders>
            <w:shd w:fill="DCFCE7" w:val="clear"/>
            <w:tcMar>
              <w:top w:type="dxa" w:w="100"/>
              <w:left w:type="dxa" w:w="80"/>
              <w:bottom w:type="dxa" w:w="100"/>
              <w:right w:type="dxa" w:w="80"/>
            </w:tcMar>
          </w:tcPr>
          <w:p>
            <w:pPr>
              <w:jc w:val="center"/>
            </w:pPr>
            <w:r>
              <w:rPr>
                <w:rFonts w:ascii="Arial" w:cs="Arial" w:eastAsia="Arial" w:hAnsi="Arial"/>
                <w:b/>
                <w:bCs/>
                <w:color w:val="0F172A"/>
                <w:sz w:val="18"/>
                <w:szCs w:val="18"/>
              </w:rPr>
              <w:t xml:space="preserve">💰 CFO / Finance</w:t>
            </w:r>
          </w:p>
        </w:tc>
        <w:tc>
          <w:tcPr>
            <w:tcW w:type="dxa" w:w="1872"/>
            <w:tcBorders>
              <w:top w:val="none" w:color="FFFFFF" w:sz="0"/>
              <w:left w:val="none" w:color="FFFFFF" w:sz="0"/>
              <w:bottom w:val="none" w:color="FFFFFF" w:sz="0"/>
              <w:right w:val="none" w:color="FFFFFF" w:sz="0"/>
            </w:tcBorders>
            <w:shd w:fill="EFF6FF" w:val="clear"/>
            <w:tcMar>
              <w:top w:type="dxa" w:w="100"/>
              <w:left w:type="dxa" w:w="80"/>
              <w:bottom w:type="dxa" w:w="100"/>
              <w:right w:type="dxa" w:w="80"/>
            </w:tcMar>
          </w:tcPr>
          <w:p>
            <w:pPr>
              <w:jc w:val="center"/>
            </w:pPr>
            <w:r>
              <w:rPr>
                <w:rFonts w:ascii="Arial" w:cs="Arial" w:eastAsia="Arial" w:hAnsi="Arial"/>
                <w:b/>
                <w:bCs/>
                <w:color w:val="0F172A"/>
                <w:sz w:val="18"/>
                <w:szCs w:val="18"/>
              </w:rPr>
              <w:t xml:space="preserve">🔧 IT Director</w:t>
            </w:r>
          </w:p>
        </w:tc>
        <w:tc>
          <w:tcPr>
            <w:tcW w:type="dxa" w:w="1872"/>
            <w:tcBorders>
              <w:top w:val="none" w:color="FFFFFF" w:sz="0"/>
              <w:left w:val="none" w:color="FFFFFF" w:sz="0"/>
              <w:bottom w:val="none" w:color="FFFFFF" w:sz="0"/>
              <w:right w:val="none" w:color="FFFFFF" w:sz="0"/>
            </w:tcBorders>
            <w:shd w:fill="F3E8FF" w:val="clear"/>
            <w:tcMar>
              <w:top w:type="dxa" w:w="100"/>
              <w:left w:type="dxa" w:w="80"/>
              <w:bottom w:type="dxa" w:w="100"/>
              <w:right w:type="dxa" w:w="80"/>
            </w:tcMar>
          </w:tcPr>
          <w:p>
            <w:pPr>
              <w:jc w:val="center"/>
            </w:pPr>
            <w:r>
              <w:rPr>
                <w:rFonts w:ascii="Arial" w:cs="Arial" w:eastAsia="Arial" w:hAnsi="Arial"/>
                <w:b/>
                <w:bCs/>
                <w:color w:val="0F172A"/>
                <w:sz w:val="18"/>
                <w:szCs w:val="18"/>
              </w:rPr>
              <w:t xml:space="preserve">⚙️ Sales Ops</w:t>
            </w:r>
          </w:p>
        </w:tc>
        <w:tc>
          <w:tcPr>
            <w:tcW w:type="dxa" w:w="1872"/>
            <w:tcBorders>
              <w:top w:val="none" w:color="FFFFFF" w:sz="0"/>
              <w:left w:val="none" w:color="FFFFFF" w:sz="0"/>
              <w:bottom w:val="none" w:color="FFFFFF" w:sz="0"/>
              <w:right w:val="none" w:color="FFFFFF" w:sz="0"/>
            </w:tcBorders>
            <w:shd w:fill="FDF4FF" w:val="clear"/>
            <w:tcMar>
              <w:top w:type="dxa" w:w="100"/>
              <w:left w:type="dxa" w:w="80"/>
              <w:bottom w:type="dxa" w:w="100"/>
              <w:right w:type="dxa" w:w="80"/>
            </w:tcMar>
          </w:tcPr>
          <w:p>
            <w:pPr>
              <w:jc w:val="center"/>
            </w:pPr>
            <w:r>
              <w:rPr>
                <w:rFonts w:ascii="Arial" w:cs="Arial" w:eastAsia="Arial" w:hAnsi="Arial"/>
                <w:b/>
                <w:bCs/>
                <w:color w:val="0F172A"/>
                <w:sz w:val="18"/>
                <w:szCs w:val="18"/>
              </w:rPr>
              <w:t xml:space="preserve">📣 CMO / Marketing</w:t>
            </w:r>
          </w:p>
        </w:tc>
      </w:tr>
    </w:tbl>
    <w:p>
      <w:r>
        <w:br w:type="page"/>
      </w:r>
    </w:p>
    <w:p>
      <w:pPr>
        <w:pStyle w:val="Heading1"/>
      </w:pPr>
      <w:r>
        <w:t xml:space="preserve">How to Use This Demo Playbook</w:t>
      </w:r>
    </w:p>
    <w:p>
      <w:pPr>
        <w:pBdr>
          <w:bottom w:val="single" w:color="E2E8F0" w:sz="4" w:space="1"/>
        </w:pBdr>
        <w:spacing w:after="120" w:before="120"/>
      </w:pPr>
      <w:r>
        <w:t xml:space="preserve"/>
      </w:r>
    </w:p>
    <w:p>
      <w:pPr>
        <w:spacing w:after="60" w:before="60"/>
        <w:jc w:val="left"/>
      </w:pPr>
      <w:r>
        <w:rPr>
          <w:rFonts w:ascii="Arial" w:cs="Arial" w:eastAsia="Arial" w:hAnsi="Arial"/>
          <w:b w:val="false"/>
          <w:bCs w:val="false"/>
          <w:i w:val="false"/>
          <w:iCs w:val="false"/>
          <w:color w:val="0F172A"/>
          <w:sz w:val="22"/>
          <w:szCs w:val="22"/>
        </w:rPr>
        <w:t xml:space="preserve">This playbook gives you a ready-to-run demo script for each of the five key buyer personas in an Oracle CX sales engagement. Each persona section includes:</w:t>
      </w:r>
    </w:p>
    <w:p>
      <w:pPr>
        <w:spacing w:after="0" w:before="0"/>
      </w:pPr>
      <w:r>
        <w:t xml:space="preserve"/>
      </w:r>
    </w:p>
    <w:p>
      <w:pPr>
        <w:pStyle w:val="ListParagraph"/>
        <w:numPr>
          <w:ilvl w:val="0"/>
          <w:numId w:val="2"/>
        </w:numPr>
        <w:spacing w:after="40" w:before="40"/>
      </w:pPr>
      <w:r>
        <w:rPr>
          <w:rFonts w:ascii="Arial" w:cs="Arial" w:eastAsia="Arial" w:hAnsi="Arial"/>
          <w:b w:val="false"/>
          <w:bCs w:val="false"/>
          <w:color w:val="0F172A"/>
          <w:sz w:val="21"/>
          <w:szCs w:val="21"/>
        </w:rPr>
        <w:t xml:space="preserve">Persona Profile — who they are, what keeps them up at night, and what they care about</w:t>
      </w:r>
    </w:p>
    <w:p>
      <w:pPr>
        <w:pStyle w:val="ListParagraph"/>
        <w:numPr>
          <w:ilvl w:val="0"/>
          <w:numId w:val="2"/>
        </w:numPr>
        <w:spacing w:after="40" w:before="40"/>
      </w:pPr>
      <w:r>
        <w:rPr>
          <w:rFonts w:ascii="Arial" w:cs="Arial" w:eastAsia="Arial" w:hAnsi="Arial"/>
          <w:b w:val="false"/>
          <w:bCs w:val="false"/>
          <w:color w:val="0F172A"/>
          <w:sz w:val="21"/>
          <w:szCs w:val="21"/>
        </w:rPr>
        <w:t xml:space="preserve">Demo Screen Flow — the specific screens to show, in order, with recommended time per screen</w:t>
      </w:r>
    </w:p>
    <w:p>
      <w:pPr>
        <w:pStyle w:val="ListParagraph"/>
        <w:numPr>
          <w:ilvl w:val="0"/>
          <w:numId w:val="2"/>
        </w:numPr>
        <w:spacing w:after="40" w:before="40"/>
      </w:pPr>
      <w:r>
        <w:rPr>
          <w:rFonts w:ascii="Arial" w:cs="Arial" w:eastAsia="Arial" w:hAnsi="Arial"/>
          <w:b w:val="false"/>
          <w:bCs w:val="false"/>
          <w:color w:val="0F172A"/>
          <w:sz w:val="21"/>
          <w:szCs w:val="21"/>
        </w:rPr>
        <w:t xml:space="preserve">Detailed Talking Points — what to say on each screen, tied to the persona's priorities</w:t>
      </w:r>
    </w:p>
    <w:p>
      <w:pPr>
        <w:pStyle w:val="ListParagraph"/>
        <w:numPr>
          <w:ilvl w:val="0"/>
          <w:numId w:val="2"/>
        </w:numPr>
        <w:spacing w:after="40" w:before="40"/>
      </w:pPr>
      <w:r>
        <w:rPr>
          <w:rFonts w:ascii="Arial" w:cs="Arial" w:eastAsia="Arial" w:hAnsi="Arial"/>
          <w:b w:val="false"/>
          <w:bCs w:val="false"/>
          <w:color w:val="0F172A"/>
          <w:sz w:val="21"/>
          <w:szCs w:val="21"/>
        </w:rPr>
        <w:t xml:space="preserve">Discovery Questions — questions to ask before and during the demo to uncover pain</w:t>
      </w:r>
    </w:p>
    <w:p>
      <w:pPr>
        <w:pStyle w:val="ListParagraph"/>
        <w:numPr>
          <w:ilvl w:val="0"/>
          <w:numId w:val="2"/>
        </w:numPr>
        <w:spacing w:after="40" w:before="40"/>
      </w:pPr>
      <w:r>
        <w:rPr>
          <w:rFonts w:ascii="Arial" w:cs="Arial" w:eastAsia="Arial" w:hAnsi="Arial"/>
          <w:b w:val="false"/>
          <w:bCs w:val="false"/>
          <w:color w:val="0F172A"/>
          <w:sz w:val="21"/>
          <w:szCs w:val="21"/>
        </w:rPr>
        <w:t xml:space="preserve">Objection Handling — the top objections this persona raises and how to respond</w:t>
      </w:r>
    </w:p>
    <w:p>
      <w:pPr>
        <w:pStyle w:val="ListParagraph"/>
        <w:numPr>
          <w:ilvl w:val="0"/>
          <w:numId w:val="2"/>
        </w:numPr>
        <w:spacing w:after="40" w:before="40"/>
      </w:pPr>
      <w:r>
        <w:rPr>
          <w:rFonts w:ascii="Arial" w:cs="Arial" w:eastAsia="Arial" w:hAnsi="Arial"/>
          <w:b w:val="false"/>
          <w:bCs w:val="false"/>
          <w:color w:val="0F172A"/>
          <w:sz w:val="21"/>
          <w:szCs w:val="21"/>
        </w:rPr>
        <w:t xml:space="preserve">Closing Move — the specific ask to make at the end to advance the deal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00"/>
              <w:left w:type="dxa" w:w="200"/>
              <w:bottom w:type="dxa" w:w="100"/>
              <w:right w:type="dxa" w:w="200"/>
            </w:tcMar>
          </w:tcPr>
          <w:p>
            <w:r>
              <w:rPr>
                <w:rFonts w:ascii="Arial" w:cs="Arial" w:eastAsia="Arial" w:hAnsi="Arial"/>
                <w:b/>
                <w:bCs/>
                <w:caps/>
                <w:color w:val="1D4ED8"/>
                <w:spacing w:val="20"/>
                <w:sz w:val="20"/>
                <w:szCs w:val="20"/>
              </w:rPr>
              <w:t xml:space="preserve">Demo Environment Setup</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Local URL</w:t>
            </w:r>
          </w:p>
        </w:tc>
        <w:tc>
          <w:tcPr>
            <w:tcW w:type="dxa" w:w="64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http://localhost:8000 (run: python3 -m http.server 8000)</w:t>
            </w:r>
          </w:p>
        </w:tc>
      </w:tr>
      <w:tr>
        <w:tc>
          <w:tcPr>
            <w:tcW w:type="dxa" w:w="2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Start Screen</w:t>
            </w:r>
          </w:p>
        </w:tc>
        <w:tc>
          <w:tcPr>
            <w:tcW w:type="dxa" w:w="64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index.html or persona_hub.html</w:t>
            </w:r>
          </w:p>
        </w:tc>
      </w:tr>
      <w:tr>
        <w:tc>
          <w:tcPr>
            <w:tcW w:type="dxa" w:w="2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Key Screens</w:t>
            </w:r>
          </w:p>
        </w:tc>
        <w:tc>
          <w:tcPr>
            <w:tcW w:type="dxa" w:w="64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cx_lead, cx_opportunity, cpq_quote_builder, subscription_lifecycle, cx_service_case, icm_compensation, marketing_orchestration</w:t>
            </w:r>
          </w:p>
        </w:tc>
      </w:tr>
      <w:tr>
        <w:tc>
          <w:tcPr>
            <w:tcW w:type="dxa" w:w="2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State Engine</w:t>
            </w:r>
          </w:p>
        </w:tc>
        <w:tc>
          <w:tcPr>
            <w:tcW w:type="dxa" w:w="64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RWD global object — use scenario flow buttons to set consistent demo data</w:t>
            </w:r>
          </w:p>
        </w:tc>
      </w:tr>
      <w:tr>
        <w:tc>
          <w:tcPr>
            <w:tcW w:type="dxa" w:w="2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Best Practice</w:t>
            </w:r>
          </w:p>
        </w:tc>
        <w:tc>
          <w:tcPr>
            <w:tcW w:type="dxa" w:w="64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Run Easy Start Flows first to seed consistent data before the demo</w:t>
            </w:r>
          </w:p>
        </w:tc>
      </w:tr>
      <w:tr>
        <w:tc>
          <w:tcPr>
            <w:tcW w:type="dxa" w:w="2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Screen Size</w:t>
            </w:r>
          </w:p>
        </w:tc>
        <w:tc>
          <w:tcPr>
            <w:tcW w:type="dxa" w:w="64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Full-screen browser, 1280px+ width. Hide browser chrome during demo.</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00"/>
              <w:left w:type="dxa" w:w="200"/>
              <w:bottom w:type="dxa" w:w="100"/>
              <w:right w:type="dxa" w:w="200"/>
            </w:tcMar>
          </w:tcPr>
          <w:p>
            <w:r>
              <w:rPr>
                <w:rFonts w:ascii="Arial" w:cs="Arial" w:eastAsia="Arial" w:hAnsi="Arial"/>
                <w:b/>
                <w:bCs/>
                <w:caps/>
                <w:color w:val="15803D"/>
                <w:spacing w:val="20"/>
                <w:sz w:val="20"/>
                <w:szCs w:val="20"/>
              </w:rPr>
              <w:t xml:space="preserve">Demo Best Practices</w:t>
            </w:r>
          </w:p>
        </w:tc>
      </w:tr>
    </w:tbl>
    <w:p>
      <w:pPr>
        <w:spacing w:after="0" w:before="0"/>
      </w:pPr>
      <w:r>
        <w:t xml:space="preserve"/>
      </w:r>
    </w:p>
    <w:p>
      <w:pPr>
        <w:pStyle w:val="ListParagraph"/>
        <w:numPr>
          <w:ilvl w:val="0"/>
          <w:numId w:val="2"/>
        </w:numPr>
        <w:spacing w:after="40" w:before="40"/>
      </w:pPr>
      <w:r>
        <w:rPr>
          <w:rFonts w:ascii="Arial" w:cs="Arial" w:eastAsia="Arial" w:hAnsi="Arial"/>
          <w:b w:val="false"/>
          <w:bCs w:val="false"/>
          <w:color w:val="0F172A"/>
          <w:sz w:val="21"/>
          <w:szCs w:val="21"/>
        </w:rPr>
        <w:t xml:space="preserve">Always start with a discovery question before opening the first screen — let their pain drive the story.</w:t>
      </w:r>
    </w:p>
    <w:p>
      <w:pPr>
        <w:pStyle w:val="ListParagraph"/>
        <w:numPr>
          <w:ilvl w:val="0"/>
          <w:numId w:val="2"/>
        </w:numPr>
        <w:spacing w:after="40" w:before="40"/>
      </w:pPr>
      <w:r>
        <w:rPr>
          <w:rFonts w:ascii="Arial" w:cs="Arial" w:eastAsia="Arial" w:hAnsi="Arial"/>
          <w:b w:val="false"/>
          <w:bCs w:val="false"/>
          <w:color w:val="0F172A"/>
          <w:sz w:val="21"/>
          <w:szCs w:val="21"/>
        </w:rPr>
        <w:t xml:space="preserve">Use the customer's own data points (company name, deal size, rep count) when describing what they'll see.</w:t>
      </w:r>
    </w:p>
    <w:p>
      <w:pPr>
        <w:pStyle w:val="ListParagraph"/>
        <w:numPr>
          <w:ilvl w:val="0"/>
          <w:numId w:val="2"/>
        </w:numPr>
        <w:spacing w:after="40" w:before="40"/>
      </w:pPr>
      <w:r>
        <w:rPr>
          <w:rFonts w:ascii="Arial" w:cs="Arial" w:eastAsia="Arial" w:hAnsi="Arial"/>
          <w:b w:val="false"/>
          <w:bCs w:val="false"/>
          <w:color w:val="0F172A"/>
          <w:sz w:val="21"/>
          <w:szCs w:val="21"/>
        </w:rPr>
        <w:t xml:space="preserve">Pause after each screen and ask: "Does this resonate with what you're dealing with today?"</w:t>
      </w:r>
    </w:p>
    <w:p>
      <w:pPr>
        <w:pStyle w:val="ListParagraph"/>
        <w:numPr>
          <w:ilvl w:val="0"/>
          <w:numId w:val="2"/>
        </w:numPr>
        <w:spacing w:after="40" w:before="40"/>
      </w:pPr>
      <w:r>
        <w:rPr>
          <w:rFonts w:ascii="Arial" w:cs="Arial" w:eastAsia="Arial" w:hAnsi="Arial"/>
          <w:b w:val="false"/>
          <w:bCs w:val="false"/>
          <w:color w:val="0F172A"/>
          <w:sz w:val="21"/>
          <w:szCs w:val="21"/>
        </w:rPr>
        <w:t xml:space="preserve">Never apologize for what the demo doesn't show — redirect to what it does show.</w:t>
      </w:r>
    </w:p>
    <w:p>
      <w:pPr>
        <w:pStyle w:val="ListParagraph"/>
        <w:numPr>
          <w:ilvl w:val="0"/>
          <w:numId w:val="2"/>
        </w:numPr>
        <w:spacing w:after="40" w:before="40"/>
      </w:pPr>
      <w:r>
        <w:rPr>
          <w:rFonts w:ascii="Arial" w:cs="Arial" w:eastAsia="Arial" w:hAnsi="Arial"/>
          <w:b w:val="false"/>
          <w:bCs w:val="false"/>
          <w:color w:val="0F172A"/>
          <w:sz w:val="21"/>
          <w:szCs w:val="21"/>
        </w:rPr>
        <w:t xml:space="preserve">Close every screen with a tie-back to their stated pain: "You mentioned [pain] — this is exactly how Oracle solves that."</w:t>
      </w:r>
    </w:p>
    <w:p>
      <w:pPr>
        <w:pStyle w:val="ListParagraph"/>
        <w:numPr>
          <w:ilvl w:val="0"/>
          <w:numId w:val="2"/>
        </w:numPr>
        <w:spacing w:after="40" w:before="40"/>
      </w:pPr>
      <w:r>
        <w:rPr>
          <w:rFonts w:ascii="Arial" w:cs="Arial" w:eastAsia="Arial" w:hAnsi="Arial"/>
          <w:b w:val="false"/>
          <w:bCs w:val="false"/>
          <w:color w:val="0F172A"/>
          <w:sz w:val="21"/>
          <w:szCs w:val="21"/>
        </w:rPr>
        <w:t xml:space="preserve">The persona scripts are starting points — adapt in real time based on their responses.</w:t>
      </w:r>
    </w:p>
    <w:p>
      <w:pPr>
        <w:spacing w:after="0" w:before="0"/>
      </w:pPr>
      <w:r>
        <w:t xml:space="preserve"/>
      </w:r>
    </w:p>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F0" w:val="clear"/>
            <w:tcMar>
              <w:top w:type="dxa" w:w="180"/>
              <w:left w:type="dxa" w:w="240"/>
              <w:bottom w:type="dxa" w:w="180"/>
              <w:right w:type="dxa" w:w="240"/>
            </w:tcMar>
          </w:tcPr>
          <w:p>
            <w:r>
              <w:rPr>
                <w:rFonts w:ascii="Arial" w:cs="Arial" w:eastAsia="Arial" w:hAnsi="Arial"/>
                <w:b/>
                <w:bCs/>
                <w:caps/>
                <w:color w:val="FF7A18"/>
                <w:spacing w:val="40"/>
                <w:sz w:val="18"/>
                <w:szCs w:val="18"/>
              </w:rPr>
              <w:t xml:space="preserve">PERSONA 01</w:t>
            </w:r>
          </w:p>
          <w:p>
            <w:r>
              <w:rPr>
                <w:rFonts w:ascii="Arial" w:cs="Arial" w:eastAsia="Arial" w:hAnsi="Arial"/>
                <w:b/>
                <w:bCs/>
                <w:color w:val="0F172A"/>
                <w:sz w:val="36"/>
                <w:szCs w:val="36"/>
              </w:rPr>
              <w:t xml:space="preserve">📊  VP of Sales / CRO</w:t>
            </w:r>
          </w:p>
          <w:p>
            <w:r>
              <w:rPr>
                <w:rFonts w:ascii="Arial" w:cs="Arial" w:eastAsia="Arial" w:hAnsi="Arial"/>
                <w:i/>
                <w:iCs/>
                <w:color w:val="475569"/>
                <w:sz w:val="22"/>
                <w:szCs w:val="22"/>
              </w:rPr>
              <w:t xml:space="preserve">Chief Revenue Officer · VP Sales · Regional VP</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F0" w:val="clear"/>
            <w:tcMar>
              <w:top w:type="dxa" w:w="100"/>
              <w:left w:type="dxa" w:w="200"/>
              <w:bottom w:type="dxa" w:w="100"/>
              <w:right w:type="dxa" w:w="200"/>
            </w:tcMar>
          </w:tcPr>
          <w:p>
            <w:r>
              <w:rPr>
                <w:rFonts w:ascii="Arial" w:cs="Arial" w:eastAsia="Arial" w:hAnsi="Arial"/>
                <w:b/>
                <w:bCs/>
                <w:caps/>
                <w:color w:val="FF7A18"/>
                <w:spacing w:val="20"/>
                <w:sz w:val="20"/>
                <w:szCs w:val="20"/>
              </w:rPr>
              <w:t xml:space="preserve">Persona Profile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Role</w:t>
            </w:r>
          </w:p>
        </w:tc>
        <w:tc>
          <w:tcPr>
            <w:tcW w:type="dxa" w:w="64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Chief Revenue Officer · VP Sales · Regional VP</w:t>
            </w:r>
          </w:p>
        </w:tc>
      </w:tr>
      <w:tr>
        <w:tc>
          <w:tcPr>
            <w:tcW w:type="dxa" w:w="2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Primary Pain Points</w:t>
            </w:r>
          </w:p>
        </w:tc>
        <w:tc>
          <w:tcPr>
            <w:tcW w:type="dxa" w:w="64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Inaccurate pipeline forecasts · Deal velocity too slow · Reps not using CRM · Quota attainment inconsistent across territories · No real-time visibility into deal risk</w:t>
            </w:r>
          </w:p>
        </w:tc>
      </w:tr>
      <w:tr>
        <w:tc>
          <w:tcPr>
            <w:tcW w:type="dxa" w:w="2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What They Care About</w:t>
            </w:r>
          </w:p>
        </w:tc>
        <w:tc>
          <w:tcPr>
            <w:tcW w:type="dxa" w:w="64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Revenue predictability · Winning more deals faster · Rep productivity · Forecast accuracy · Competitive win rates</w:t>
            </w:r>
          </w:p>
        </w:tc>
      </w:tr>
      <w:tr>
        <w:tc>
          <w:tcPr>
            <w:tcW w:type="dxa" w:w="2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Questions They Ask</w:t>
            </w:r>
          </w:p>
        </w:tc>
        <w:tc>
          <w:tcPr>
            <w:tcW w:type="dxa" w:w="64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"How does this help my reps close faster?" · "Can I see my full pipeline in one view?" · "What's the AI actually doing?" · "How does this integrate with what we have?"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00"/>
              <w:left w:type="dxa" w:w="200"/>
              <w:bottom w:type="dxa" w:w="100"/>
              <w:right w:type="dxa" w:w="200"/>
            </w:tcMar>
          </w:tcPr>
          <w:p>
            <w:r>
              <w:rPr>
                <w:rFonts w:ascii="Arial" w:cs="Arial" w:eastAsia="Arial" w:hAnsi="Arial"/>
                <w:b/>
                <w:bCs/>
                <w:caps/>
                <w:color w:val="1D4ED8"/>
                <w:spacing w:val="20"/>
                <w:sz w:val="20"/>
                <w:szCs w:val="20"/>
              </w:rPr>
              <w:t xml:space="preserve">Demo Screen Flow</w:t>
            </w:r>
          </w:p>
        </w:tc>
      </w:tr>
    </w:tbl>
    <w:p>
      <w:pPr>
        <w:spacing w:after="0" w:before="0"/>
      </w:pPr>
      <w:r>
        <w:t xml:space="preserve"/>
      </w:r>
    </w:p>
    <w:p>
      <w:pPr>
        <w:spacing w:after="60" w:before="60"/>
        <w:jc w:val="left"/>
      </w:pPr>
      <w:r>
        <w:rPr>
          <w:rFonts w:ascii="Arial" w:cs="Arial" w:eastAsia="Arial" w:hAnsi="Arial"/>
          <w:b/>
          <w:bCs/>
          <w:i w:val="false"/>
          <w:iCs w:val="false"/>
          <w:color w:val="0F172A"/>
          <w:sz w:val="22"/>
          <w:szCs w:val="22"/>
        </w:rPr>
        <w:t xml:space="preserve">Total demo time: 30–40 minutes  ·  Screens: 6</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2800"/>
        <w:gridCol w:w="2600"/>
      </w:tblGrid>
      <w:tr>
        <w:tc>
          <w:tcPr>
            <w:tcW w:type="dxa" w:w="144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52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2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Key Talking Points</w:t>
            </w:r>
          </w:p>
        </w:tc>
        <w:tc>
          <w:tcPr>
            <w:tcW w:type="dxa" w:w="2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1440"/>
            <w:tcBorders>
              <w:top w:val="single" w:color="E2E8F0" w:sz="1"/>
              <w:left w:val="single" w:color="E2E8F0" w:sz="1"/>
              <w:bottom w:val="single" w:color="E2E8F0" w:sz="1"/>
              <w:right w:val="single" w:color="E2E8F0" w:sz="1"/>
            </w:tcBorders>
            <w:shd w:fill="FFF7F0" w:val="clear"/>
            <w:tcMar>
              <w:top w:type="dxa" w:w="80"/>
              <w:left w:type="dxa" w:w="120"/>
              <w:bottom w:type="dxa" w:w="80"/>
              <w:right w:type="dxa" w:w="120"/>
            </w:tcMar>
          </w:tcPr>
          <w:p>
            <w:r>
              <w:rPr>
                <w:rFonts w:ascii="Arial" w:cs="Arial" w:eastAsia="Arial" w:hAnsi="Arial"/>
                <w:b/>
                <w:bCs/>
                <w:color w:val="FF7A18"/>
                <w:sz w:val="20"/>
                <w:szCs w:val="20"/>
              </w:rPr>
              <w:t xml:space="preserve">1</w:t>
            </w:r>
          </w:p>
        </w:tc>
        <w:tc>
          <w:tcPr>
            <w:tcW w:type="dxa" w:w="25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cx_lead.html</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9"/>
                <w:szCs w:val="19"/>
              </w:rPr>
              <w:t xml:space="preserve">Show AI-scored lead queue, qualification automation, Smart Actions</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5 min</w:t>
            </w:r>
          </w:p>
        </w:tc>
      </w:tr>
      <w:tr>
        <w:tc>
          <w:tcPr>
            <w:tcW w:type="dxa" w:w="1440"/>
            <w:tcBorders>
              <w:top w:val="single" w:color="E2E8F0" w:sz="1"/>
              <w:left w:val="single" w:color="E2E8F0" w:sz="1"/>
              <w:bottom w:val="single" w:color="E2E8F0" w:sz="1"/>
              <w:right w:val="single" w:color="E2E8F0" w:sz="1"/>
            </w:tcBorders>
            <w:shd w:fill="FFF7F0" w:val="clear"/>
            <w:tcMar>
              <w:top w:type="dxa" w:w="80"/>
              <w:left w:type="dxa" w:w="120"/>
              <w:bottom w:type="dxa" w:w="80"/>
              <w:right w:type="dxa" w:w="120"/>
            </w:tcMar>
          </w:tcPr>
          <w:p>
            <w:r>
              <w:rPr>
                <w:rFonts w:ascii="Arial" w:cs="Arial" w:eastAsia="Arial" w:hAnsi="Arial"/>
                <w:b/>
                <w:bCs/>
                <w:color w:val="FF7A18"/>
                <w:sz w:val="20"/>
                <w:szCs w:val="20"/>
              </w:rPr>
              <w:t xml:space="preserve">2</w:t>
            </w:r>
          </w:p>
        </w:tc>
        <w:tc>
          <w:tcPr>
            <w:tcW w:type="dxa" w:w="25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cx_opportunity.html</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9"/>
                <w:szCs w:val="19"/>
              </w:rPr>
              <w:t xml:space="preserve">Opportunity hero, NBA widget, account hierarchy, pipeline stage</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8 min</w:t>
            </w:r>
          </w:p>
        </w:tc>
      </w:tr>
      <w:tr>
        <w:tc>
          <w:tcPr>
            <w:tcW w:type="dxa" w:w="1440"/>
            <w:tcBorders>
              <w:top w:val="single" w:color="E2E8F0" w:sz="1"/>
              <w:left w:val="single" w:color="E2E8F0" w:sz="1"/>
              <w:bottom w:val="single" w:color="E2E8F0" w:sz="1"/>
              <w:right w:val="single" w:color="E2E8F0" w:sz="1"/>
            </w:tcBorders>
            <w:shd w:fill="FFF7F0" w:val="clear"/>
            <w:tcMar>
              <w:top w:type="dxa" w:w="80"/>
              <w:left w:type="dxa" w:w="120"/>
              <w:bottom w:type="dxa" w:w="80"/>
              <w:right w:type="dxa" w:w="120"/>
            </w:tcMar>
          </w:tcPr>
          <w:p>
            <w:r>
              <w:rPr>
                <w:rFonts w:ascii="Arial" w:cs="Arial" w:eastAsia="Arial" w:hAnsi="Arial"/>
                <w:b/>
                <w:bCs/>
                <w:color w:val="FF7A18"/>
                <w:sz w:val="20"/>
                <w:szCs w:val="20"/>
              </w:rPr>
              <w:t xml:space="preserve">3</w:t>
            </w:r>
          </w:p>
        </w:tc>
        <w:tc>
          <w:tcPr>
            <w:tcW w:type="dxa" w:w="25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cpq_quote_builder.html</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9"/>
                <w:szCs w:val="19"/>
              </w:rPr>
              <w:t xml:space="preserve">CPQ quote in one click from opportunity, approval flow, DocuSign</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7 min</w:t>
            </w:r>
          </w:p>
        </w:tc>
      </w:tr>
      <w:tr>
        <w:tc>
          <w:tcPr>
            <w:tcW w:type="dxa" w:w="1440"/>
            <w:tcBorders>
              <w:top w:val="single" w:color="E2E8F0" w:sz="1"/>
              <w:left w:val="single" w:color="E2E8F0" w:sz="1"/>
              <w:bottom w:val="single" w:color="E2E8F0" w:sz="1"/>
              <w:right w:val="single" w:color="E2E8F0" w:sz="1"/>
            </w:tcBorders>
            <w:shd w:fill="FFF7F0" w:val="clear"/>
            <w:tcMar>
              <w:top w:type="dxa" w:w="80"/>
              <w:left w:type="dxa" w:w="120"/>
              <w:bottom w:type="dxa" w:w="80"/>
              <w:right w:type="dxa" w:w="120"/>
            </w:tcMar>
          </w:tcPr>
          <w:p>
            <w:r>
              <w:rPr>
                <w:rFonts w:ascii="Arial" w:cs="Arial" w:eastAsia="Arial" w:hAnsi="Arial"/>
                <w:b/>
                <w:bCs/>
                <w:color w:val="FF7A18"/>
                <w:sz w:val="20"/>
                <w:szCs w:val="20"/>
              </w:rPr>
              <w:t xml:space="preserve">4</w:t>
            </w:r>
          </w:p>
        </w:tc>
        <w:tc>
          <w:tcPr>
            <w:tcW w:type="dxa" w:w="25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forecasting_pipeline.html</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9"/>
                <w:szCs w:val="19"/>
              </w:rPr>
              <w:t xml:space="preserve">AI forecast, deal risk flags, pipeline by stage, scenario modeling</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7 min</w:t>
            </w:r>
          </w:p>
        </w:tc>
      </w:tr>
      <w:tr>
        <w:tc>
          <w:tcPr>
            <w:tcW w:type="dxa" w:w="1440"/>
            <w:tcBorders>
              <w:top w:val="single" w:color="E2E8F0" w:sz="1"/>
              <w:left w:val="single" w:color="E2E8F0" w:sz="1"/>
              <w:bottom w:val="single" w:color="E2E8F0" w:sz="1"/>
              <w:right w:val="single" w:color="E2E8F0" w:sz="1"/>
            </w:tcBorders>
            <w:shd w:fill="FFF7F0" w:val="clear"/>
            <w:tcMar>
              <w:top w:type="dxa" w:w="80"/>
              <w:left w:type="dxa" w:w="120"/>
              <w:bottom w:type="dxa" w:w="80"/>
              <w:right w:type="dxa" w:w="120"/>
            </w:tcMar>
          </w:tcPr>
          <w:p>
            <w:r>
              <w:rPr>
                <w:rFonts w:ascii="Arial" w:cs="Arial" w:eastAsia="Arial" w:hAnsi="Arial"/>
                <w:b/>
                <w:bCs/>
                <w:color w:val="FF7A18"/>
                <w:sz w:val="20"/>
                <w:szCs w:val="20"/>
              </w:rPr>
              <w:t xml:space="preserve">5</w:t>
            </w:r>
          </w:p>
        </w:tc>
        <w:tc>
          <w:tcPr>
            <w:tcW w:type="dxa" w:w="25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icm_compensation.html</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9"/>
                <w:szCs w:val="19"/>
              </w:rPr>
              <w:t xml:space="preserve">Territory/quota view, rep attainment, team leaderboard</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5 min</w:t>
            </w:r>
          </w:p>
        </w:tc>
      </w:tr>
      <w:tr>
        <w:tc>
          <w:tcPr>
            <w:tcW w:type="dxa" w:w="1440"/>
            <w:tcBorders>
              <w:top w:val="single" w:color="E2E8F0" w:sz="1"/>
              <w:left w:val="single" w:color="E2E8F0" w:sz="1"/>
              <w:bottom w:val="single" w:color="E2E8F0" w:sz="1"/>
              <w:right w:val="single" w:color="E2E8F0" w:sz="1"/>
            </w:tcBorders>
            <w:shd w:fill="FFF7F0" w:val="clear"/>
            <w:tcMar>
              <w:top w:type="dxa" w:w="80"/>
              <w:left w:type="dxa" w:w="120"/>
              <w:bottom w:type="dxa" w:w="80"/>
              <w:right w:type="dxa" w:w="120"/>
            </w:tcMar>
          </w:tcPr>
          <w:p>
            <w:r>
              <w:rPr>
                <w:rFonts w:ascii="Arial" w:cs="Arial" w:eastAsia="Arial" w:hAnsi="Arial"/>
                <w:b/>
                <w:bCs/>
                <w:color w:val="FF7A18"/>
                <w:sz w:val="20"/>
                <w:szCs w:val="20"/>
              </w:rPr>
              <w:t xml:space="preserve">6</w:t>
            </w:r>
          </w:p>
        </w:tc>
        <w:tc>
          <w:tcPr>
            <w:tcW w:type="dxa" w:w="25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analytics.html</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9"/>
                <w:szCs w:val="19"/>
              </w:rPr>
              <w:t xml:space="preserve">Win/loss analysis, sales cycle, rep productivity dashboard</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5 min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00"/>
              <w:left w:type="dxa" w:w="200"/>
              <w:bottom w:type="dxa" w:w="100"/>
              <w:right w:type="dxa" w:w="200"/>
            </w:tcMar>
          </w:tcPr>
          <w:p>
            <w:r>
              <w:rPr>
                <w:rFonts w:ascii="Arial" w:cs="Arial" w:eastAsia="Arial" w:hAnsi="Arial"/>
                <w:b/>
                <w:bCs/>
                <w:caps/>
                <w:color w:val="15803D"/>
                <w:spacing w:val="20"/>
                <w:sz w:val="20"/>
                <w:szCs w:val="20"/>
              </w:rPr>
              <w:t xml:space="preserve">Detailed Talking Points</w:t>
            </w:r>
          </w:p>
        </w:tc>
      </w:tr>
    </w:tbl>
    <w:p>
      <w:pPr>
        <w:spacing w:after="0" w:before="0"/>
      </w:pPr>
      <w:r>
        <w:t xml:space="preserve"/>
      </w:r>
    </w:p>
    <w:p>
      <w:pPr>
        <w:pStyle w:val="Heading3"/>
      </w:pPr>
      <w:r>
        <w:t xml:space="preserve">cx_lead.html — Lead Management</w:t>
      </w:r>
    </w:p>
    <w:p>
      <w:pPr>
        <w:pStyle w:val="ListParagraph"/>
        <w:numPr>
          <w:ilvl w:val="0"/>
          <w:numId w:val="2"/>
        </w:numPr>
        <w:spacing w:after="40" w:before="40"/>
      </w:pPr>
      <w:r>
        <w:rPr>
          <w:rFonts w:ascii="Arial" w:cs="Arial" w:eastAsia="Arial" w:hAnsi="Arial"/>
          <w:b w:val="false"/>
          <w:bCs w:val="false"/>
          <w:color w:val="0F172A"/>
          <w:sz w:val="21"/>
          <w:szCs w:val="21"/>
        </w:rPr>
        <w:t xml:space="preserve">Oracle AI scores every inbound lead 0–100 based on fit, intent signals, and behavioral data — reps work the hottest leads first, automatically.</w:t>
      </w:r>
    </w:p>
    <w:p>
      <w:pPr>
        <w:pStyle w:val="ListParagraph"/>
        <w:numPr>
          <w:ilvl w:val="0"/>
          <w:numId w:val="2"/>
        </w:numPr>
        <w:spacing w:after="40" w:before="40"/>
      </w:pPr>
      <w:r>
        <w:rPr>
          <w:rFonts w:ascii="Arial" w:cs="Arial" w:eastAsia="Arial" w:hAnsi="Arial"/>
          <w:b w:val="false"/>
          <w:bCs w:val="false"/>
          <w:color w:val="0F172A"/>
          <w:sz w:val="21"/>
          <w:szCs w:val="21"/>
        </w:rPr>
        <w:t xml:space="preserve">Smart Actions surface contextual next steps: Log Call, Send Email, Create Opportunity — one click, no manual navigation.</w:t>
      </w:r>
    </w:p>
    <w:p>
      <w:pPr>
        <w:pStyle w:val="ListParagraph"/>
        <w:numPr>
          <w:ilvl w:val="0"/>
          <w:numId w:val="2"/>
        </w:numPr>
        <w:spacing w:after="40" w:before="40"/>
      </w:pPr>
      <w:r>
        <w:rPr>
          <w:rFonts w:ascii="Arial" w:cs="Arial" w:eastAsia="Arial" w:hAnsi="Arial"/>
          <w:b w:val="false"/>
          <w:bCs w:val="false"/>
          <w:color w:val="0F172A"/>
          <w:sz w:val="21"/>
          <w:szCs w:val="21"/>
        </w:rPr>
        <w:t xml:space="preserve">Lead source, industry, territory, and quota context are all visible in the hero card — reps never need to open another screen.</w:t>
      </w:r>
    </w:p>
    <w:p>
      <w:pPr>
        <w:pStyle w:val="ListParagraph"/>
        <w:numPr>
          <w:ilvl w:val="0"/>
          <w:numId w:val="2"/>
        </w:numPr>
        <w:spacing w:after="40" w:before="40"/>
      </w:pPr>
      <w:r>
        <w:rPr>
          <w:rFonts w:ascii="Arial" w:cs="Arial" w:eastAsia="Arial" w:hAnsi="Arial"/>
          <w:b w:val="false"/>
          <w:bCs w:val="false"/>
          <w:color w:val="0F172A"/>
          <w:sz w:val="21"/>
          <w:szCs w:val="21"/>
        </w:rPr>
        <w:t xml:space="preserve">Activity timeline shows every touch: calls, emails, meetings, tasks — with full history from day one of the lead.</w:t>
      </w:r>
    </w:p>
    <w:p>
      <w:pPr>
        <w:spacing w:after="0" w:before="0"/>
      </w:pPr>
      <w:r>
        <w:t xml:space="preserve"/>
      </w:r>
    </w:p>
    <w:p>
      <w:pPr>
        <w:pStyle w:val="Heading3"/>
      </w:pPr>
      <w:r>
        <w:t xml:space="preserve">cx_opportunity.html — Opportunity Management</w:t>
      </w:r>
    </w:p>
    <w:p>
      <w:pPr>
        <w:pStyle w:val="ListParagraph"/>
        <w:numPr>
          <w:ilvl w:val="0"/>
          <w:numId w:val="2"/>
        </w:numPr>
        <w:spacing w:after="40" w:before="40"/>
      </w:pPr>
      <w:r>
        <w:rPr>
          <w:rFonts w:ascii="Arial" w:cs="Arial" w:eastAsia="Arial" w:hAnsi="Arial"/>
          <w:b w:val="false"/>
          <w:bCs w:val="false"/>
          <w:color w:val="0F172A"/>
          <w:sz w:val="21"/>
          <w:szCs w:val="21"/>
        </w:rPr>
        <w:t xml:space="preserve">Next Best Action (NBA) is Oracle AI's deal coach — it surfaces the single most important action to take on each deal, based on engagement patterns, deal age, and competitive signals.</w:t>
      </w:r>
    </w:p>
    <w:p>
      <w:pPr>
        <w:pStyle w:val="ListParagraph"/>
        <w:numPr>
          <w:ilvl w:val="0"/>
          <w:numId w:val="2"/>
        </w:numPr>
        <w:spacing w:after="40" w:before="40"/>
      </w:pPr>
      <w:r>
        <w:rPr>
          <w:rFonts w:ascii="Arial" w:cs="Arial" w:eastAsia="Arial" w:hAnsi="Arial"/>
          <w:b w:val="false"/>
          <w:bCs w:val="false"/>
          <w:color w:val="0F172A"/>
          <w:sz w:val="21"/>
          <w:szCs w:val="21"/>
        </w:rPr>
        <w:t xml:space="preserve">Account Hierarchy shows the parent company and all subsidiary sites — critical for enterprise deals with multiple buying centers (e.g., HQ + regional facilities).</w:t>
      </w:r>
    </w:p>
    <w:p>
      <w:pPr>
        <w:pStyle w:val="ListParagraph"/>
        <w:numPr>
          <w:ilvl w:val="0"/>
          <w:numId w:val="2"/>
        </w:numPr>
        <w:spacing w:after="40" w:before="40"/>
      </w:pPr>
      <w:r>
        <w:rPr>
          <w:rFonts w:ascii="Arial" w:cs="Arial" w:eastAsia="Arial" w:hAnsi="Arial"/>
          <w:b w:val="false"/>
          <w:bCs w:val="false"/>
          <w:color w:val="0F172A"/>
          <w:sz w:val="21"/>
          <w:szCs w:val="21"/>
        </w:rPr>
        <w:t xml:space="preserve">Revenue Lines tab shows every product on the deal, with pricing, quantities, and totals — directly connected to CPQ for instant quote generation.</w:t>
      </w:r>
    </w:p>
    <w:p>
      <w:pPr>
        <w:pStyle w:val="ListParagraph"/>
        <w:numPr>
          <w:ilvl w:val="0"/>
          <w:numId w:val="2"/>
        </w:numPr>
        <w:spacing w:after="40" w:before="40"/>
      </w:pPr>
      <w:r>
        <w:rPr>
          <w:rFonts w:ascii="Arial" w:cs="Arial" w:eastAsia="Arial" w:hAnsi="Arial"/>
          <w:b w:val="false"/>
          <w:bCs w:val="false"/>
          <w:color w:val="0F172A"/>
          <w:sz w:val="21"/>
          <w:szCs w:val="21"/>
        </w:rPr>
        <w:t xml:space="preserve">Activities tab is the full engagement record: calls, meetings, emails — managers can see exactly how active a rep is on each deal.</w:t>
      </w:r>
    </w:p>
    <w:p>
      <w:pPr>
        <w:spacing w:after="0" w:before="0"/>
      </w:pPr>
      <w:r>
        <w:t xml:space="preserve"/>
      </w:r>
    </w:p>
    <w:p>
      <w:pPr>
        <w:pStyle w:val="Heading3"/>
      </w:pPr>
      <w:r>
        <w:t xml:space="preserve">cpq_quote_builder.html — CPQ Quote Builder</w:t>
      </w:r>
    </w:p>
    <w:p>
      <w:pPr>
        <w:pStyle w:val="ListParagraph"/>
        <w:numPr>
          <w:ilvl w:val="0"/>
          <w:numId w:val="2"/>
        </w:numPr>
        <w:spacing w:after="40" w:before="40"/>
      </w:pPr>
      <w:r>
        <w:rPr>
          <w:rFonts w:ascii="Arial" w:cs="Arial" w:eastAsia="Arial" w:hAnsi="Arial"/>
          <w:b w:val="false"/>
          <w:bCs w:val="false"/>
          <w:color w:val="0F172A"/>
          <w:sz w:val="21"/>
          <w:szCs w:val="21"/>
        </w:rPr>
        <w:t xml:space="preserve">From the opportunity, the rep clicks "Create Quote" and CPQ auto-populates products, customer pricing, and discount tiers — no rekeying.</w:t>
      </w:r>
    </w:p>
    <w:p>
      <w:pPr>
        <w:pStyle w:val="ListParagraph"/>
        <w:numPr>
          <w:ilvl w:val="0"/>
          <w:numId w:val="2"/>
        </w:numPr>
        <w:spacing w:after="40" w:before="40"/>
      </w:pPr>
      <w:r>
        <w:rPr>
          <w:rFonts w:ascii="Arial" w:cs="Arial" w:eastAsia="Arial" w:hAnsi="Arial"/>
          <w:b w:val="false"/>
          <w:bCs w:val="false"/>
          <w:color w:val="0F172A"/>
          <w:sz w:val="21"/>
          <w:szCs w:val="21"/>
        </w:rPr>
        <w:t xml:space="preserve">Pricing Waterfall shows exactly how customer price is built: list → volume discount → bundle → promotional → partner margin. Full transparency for pricing reviews.</w:t>
      </w:r>
    </w:p>
    <w:p>
      <w:pPr>
        <w:pStyle w:val="ListParagraph"/>
        <w:numPr>
          <w:ilvl w:val="0"/>
          <w:numId w:val="2"/>
        </w:numPr>
        <w:spacing w:after="40" w:before="40"/>
      </w:pPr>
      <w:r>
        <w:rPr>
          <w:rFonts w:ascii="Arial" w:cs="Arial" w:eastAsia="Arial" w:hAnsi="Arial"/>
          <w:b w:val="false"/>
          <w:bCs w:val="false"/>
          <w:color w:val="0F172A"/>
          <w:sz w:val="21"/>
          <w:szCs w:val="21"/>
        </w:rPr>
        <w:t xml:space="preserve">Approval workflow is automated: discounts within territory authority auto-approve, escalations route to managers instantly via email and CRM notification.</w:t>
      </w:r>
    </w:p>
    <w:p>
      <w:pPr>
        <w:pStyle w:val="ListParagraph"/>
        <w:numPr>
          <w:ilvl w:val="0"/>
          <w:numId w:val="2"/>
        </w:numPr>
        <w:spacing w:after="40" w:before="40"/>
      </w:pPr>
      <w:r>
        <w:rPr>
          <w:rFonts w:ascii="Arial" w:cs="Arial" w:eastAsia="Arial" w:hAnsi="Arial"/>
          <w:b w:val="false"/>
          <w:bCs w:val="false"/>
          <w:color w:val="0F172A"/>
          <w:sz w:val="21"/>
          <w:szCs w:val="21"/>
        </w:rPr>
        <w:t xml:space="preserve">Quote goes to DocuSign with one click — the customer gets a branded, professional PDF, and the rep gets signature tracking in real time.</w:t>
      </w:r>
    </w:p>
    <w:p>
      <w:pPr>
        <w:spacing w:after="0" w:before="0"/>
      </w:pPr>
      <w:r>
        <w:t xml:space="preserve"/>
      </w:r>
    </w:p>
    <w:p>
      <w:pPr>
        <w:pStyle w:val="Heading3"/>
      </w:pPr>
      <w:r>
        <w:t xml:space="preserve">forecasting_pipeline.html — Forecasting</w:t>
      </w:r>
    </w:p>
    <w:p>
      <w:pPr>
        <w:pStyle w:val="ListParagraph"/>
        <w:numPr>
          <w:ilvl w:val="0"/>
          <w:numId w:val="2"/>
        </w:numPr>
        <w:spacing w:after="40" w:before="40"/>
      </w:pPr>
      <w:r>
        <w:rPr>
          <w:rFonts w:ascii="Arial" w:cs="Arial" w:eastAsia="Arial" w:hAnsi="Arial"/>
          <w:b w:val="false"/>
          <w:bCs w:val="false"/>
          <w:color w:val="0F172A"/>
          <w:sz w:val="21"/>
          <w:szCs w:val="21"/>
        </w:rPr>
        <w:t xml:space="preserve">AI-powered forecast separates "commit" from "best case" from "pipeline" — no more subjective rep sandbagging distorting your number.</w:t>
      </w:r>
    </w:p>
    <w:p>
      <w:pPr>
        <w:pStyle w:val="ListParagraph"/>
        <w:numPr>
          <w:ilvl w:val="0"/>
          <w:numId w:val="2"/>
        </w:numPr>
        <w:spacing w:after="40" w:before="40"/>
      </w:pPr>
      <w:r>
        <w:rPr>
          <w:rFonts w:ascii="Arial" w:cs="Arial" w:eastAsia="Arial" w:hAnsi="Arial"/>
          <w:b w:val="false"/>
          <w:bCs w:val="false"/>
          <w:color w:val="0F172A"/>
          <w:sz w:val="21"/>
          <w:szCs w:val="21"/>
        </w:rPr>
        <w:t xml:space="preserve">Deal risk flags surface automatically: no activity in 14 days, single-threaded deal, pricing above approval threshold — managers see risk before it becomes a miss.</w:t>
      </w:r>
    </w:p>
    <w:p>
      <w:pPr>
        <w:pStyle w:val="ListParagraph"/>
        <w:numPr>
          <w:ilvl w:val="0"/>
          <w:numId w:val="2"/>
        </w:numPr>
        <w:spacing w:after="40" w:before="40"/>
      </w:pPr>
      <w:r>
        <w:rPr>
          <w:rFonts w:ascii="Arial" w:cs="Arial" w:eastAsia="Arial" w:hAnsi="Arial"/>
          <w:b w:val="false"/>
          <w:bCs w:val="false"/>
          <w:color w:val="0F172A"/>
          <w:sz w:val="21"/>
          <w:szCs w:val="21"/>
        </w:rPr>
        <w:t xml:space="preserve">Scenario modeling lets you ask "what if we close 3 more deals this quarter?" and see the revenue impact instantly.</w:t>
      </w:r>
    </w:p>
    <w:p>
      <w:pPr>
        <w:spacing w:after="0" w:before="0"/>
      </w:pPr>
      <w:r>
        <w:t xml:space="preserve"/>
      </w:r>
    </w:p>
    <w:p>
      <w:pPr>
        <w:pStyle w:val="Heading3"/>
      </w:pPr>
      <w:r>
        <w:t xml:space="preserve">icm_compensation.html — Compensation (ICM)</w:t>
      </w:r>
    </w:p>
    <w:p>
      <w:pPr>
        <w:pStyle w:val="ListParagraph"/>
        <w:numPr>
          <w:ilvl w:val="0"/>
          <w:numId w:val="2"/>
        </w:numPr>
        <w:spacing w:after="40" w:before="40"/>
      </w:pPr>
      <w:r>
        <w:rPr>
          <w:rFonts w:ascii="Arial" w:cs="Arial" w:eastAsia="Arial" w:hAnsi="Arial"/>
          <w:b w:val="false"/>
          <w:bCs w:val="false"/>
          <w:color w:val="0F172A"/>
          <w:sz w:val="21"/>
          <w:szCs w:val="21"/>
        </w:rPr>
        <w:t xml:space="preserve">Reps can see their YTD earnings, attainment, and projected payout in real time — no more waiting for the compensation statement at month end.</w:t>
      </w:r>
    </w:p>
    <w:p>
      <w:pPr>
        <w:pStyle w:val="ListParagraph"/>
        <w:numPr>
          <w:ilvl w:val="0"/>
          <w:numId w:val="2"/>
        </w:numPr>
        <w:spacing w:after="40" w:before="40"/>
      </w:pPr>
      <w:r>
        <w:rPr>
          <w:rFonts w:ascii="Arial" w:cs="Arial" w:eastAsia="Arial" w:hAnsi="Arial"/>
          <w:b w:val="false"/>
          <w:bCs w:val="false"/>
          <w:color w:val="0F172A"/>
          <w:sz w:val="21"/>
          <w:szCs w:val="21"/>
        </w:rPr>
        <w:t xml:space="preserve">Territory and quota visibility: each rep sees their quota, their territory coverage, and exactly where they need to focus to hit their number.</w:t>
      </w:r>
    </w:p>
    <w:p>
      <w:pPr>
        <w:pStyle w:val="ListParagraph"/>
        <w:numPr>
          <w:ilvl w:val="0"/>
          <w:numId w:val="2"/>
        </w:numPr>
        <w:spacing w:after="40" w:before="40"/>
      </w:pPr>
      <w:r>
        <w:rPr>
          <w:rFonts w:ascii="Arial" w:cs="Arial" w:eastAsia="Arial" w:hAnsi="Arial"/>
          <w:b w:val="false"/>
          <w:bCs w:val="false"/>
          <w:color w:val="0F172A"/>
          <w:sz w:val="21"/>
          <w:szCs w:val="21"/>
        </w:rPr>
        <w:t xml:space="preserve">Team leaderboard view for managers: see all direct reports' attainment, pipeline, and projected payout side by side — who needs coaching, who's ready for accelerator.</w:t>
      </w:r>
    </w:p>
    <w:p>
      <w:pPr>
        <w:spacing w:after="0" w:before="0"/>
      </w:pPr>
      <w:r>
        <w:t xml:space="preserve"/>
      </w:r>
    </w:p>
    <w:p>
      <w:pPr>
        <w:pStyle w:val="Heading3"/>
      </w:pPr>
      <w:r>
        <w:t xml:space="preserve">analytics.html — Analytics</w:t>
      </w:r>
    </w:p>
    <w:p>
      <w:pPr>
        <w:pStyle w:val="ListParagraph"/>
        <w:numPr>
          <w:ilvl w:val="0"/>
          <w:numId w:val="2"/>
        </w:numPr>
        <w:spacing w:after="40" w:before="40"/>
      </w:pPr>
      <w:r>
        <w:rPr>
          <w:rFonts w:ascii="Arial" w:cs="Arial" w:eastAsia="Arial" w:hAnsi="Arial"/>
          <w:b w:val="false"/>
          <w:bCs w:val="false"/>
          <w:color w:val="0F172A"/>
          <w:sz w:val="21"/>
          <w:szCs w:val="21"/>
        </w:rPr>
        <w:t xml:space="preserve">Win/loss analysis by rep, territory, product, and competitor — understand why you're winning and where you're losing.</w:t>
      </w:r>
    </w:p>
    <w:p>
      <w:pPr>
        <w:pStyle w:val="ListParagraph"/>
        <w:numPr>
          <w:ilvl w:val="0"/>
          <w:numId w:val="2"/>
        </w:numPr>
        <w:spacing w:after="40" w:before="40"/>
      </w:pPr>
      <w:r>
        <w:rPr>
          <w:rFonts w:ascii="Arial" w:cs="Arial" w:eastAsia="Arial" w:hAnsi="Arial"/>
          <w:b w:val="false"/>
          <w:bCs w:val="false"/>
          <w:color w:val="0F172A"/>
          <w:sz w:val="21"/>
          <w:szCs w:val="21"/>
        </w:rPr>
        <w:t xml:space="preserve">Sales cycle time by stage: identify where deals are stalling (proposal, negotiation) and fix the process, not the rep.</w:t>
      </w:r>
    </w:p>
    <w:p>
      <w:pPr>
        <w:pStyle w:val="ListParagraph"/>
        <w:numPr>
          <w:ilvl w:val="0"/>
          <w:numId w:val="2"/>
        </w:numPr>
        <w:spacing w:after="40" w:before="40"/>
      </w:pPr>
      <w:r>
        <w:rPr>
          <w:rFonts w:ascii="Arial" w:cs="Arial" w:eastAsia="Arial" w:hAnsi="Arial"/>
          <w:b w:val="false"/>
          <w:bCs w:val="false"/>
          <w:color w:val="0F172A"/>
          <w:sz w:val="21"/>
          <w:szCs w:val="21"/>
        </w:rPr>
        <w:t xml:space="preserve">Rep productivity: activities per deal, conversion rates, response time — coach with data, not intuition.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8FF" w:val="clear"/>
            <w:tcMar>
              <w:top w:type="dxa" w:w="100"/>
              <w:left w:type="dxa" w:w="200"/>
              <w:bottom w:type="dxa" w:w="100"/>
              <w:right w:type="dxa" w:w="200"/>
            </w:tcMar>
          </w:tcPr>
          <w:p>
            <w:r>
              <w:rPr>
                <w:rFonts w:ascii="Arial" w:cs="Arial" w:eastAsia="Arial" w:hAnsi="Arial"/>
                <w:b/>
                <w:bCs/>
                <w:caps/>
                <w:color w:val="7C3AED"/>
                <w:spacing w:val="20"/>
                <w:sz w:val="20"/>
                <w:szCs w:val="20"/>
              </w:rPr>
              <w:t xml:space="preserve">Discovery Questions to Ask</w:t>
            </w:r>
          </w:p>
        </w:tc>
      </w:tr>
    </w:tbl>
    <w:p>
      <w:pPr>
        <w:spacing w:after="0" w:before="0"/>
      </w:pPr>
      <w:r>
        <w:t xml:space="preserve"/>
      </w:r>
    </w:p>
    <w:p>
      <w:pPr>
        <w:pStyle w:val="ListParagraph"/>
        <w:numPr>
          <w:ilvl w:val="0"/>
          <w:numId w:val="3"/>
        </w:numPr>
        <w:spacing w:after="40" w:before="40"/>
      </w:pPr>
      <w:r>
        <w:rPr>
          <w:rFonts w:ascii="Arial" w:cs="Arial" w:eastAsia="Arial" w:hAnsi="Arial"/>
          <w:b w:val="false"/>
          <w:bCs w:val="false"/>
          <w:color w:val="0F172A"/>
          <w:sz w:val="21"/>
          <w:szCs w:val="21"/>
        </w:rPr>
        <w:t xml:space="preserve">How confident are you in your current quarter forecast — and how does that number get built today?</w:t>
      </w:r>
    </w:p>
    <w:p>
      <w:pPr>
        <w:pStyle w:val="ListParagraph"/>
        <w:numPr>
          <w:ilvl w:val="0"/>
          <w:numId w:val="3"/>
        </w:numPr>
        <w:spacing w:after="40" w:before="40"/>
      </w:pPr>
      <w:r>
        <w:rPr>
          <w:rFonts w:ascii="Arial" w:cs="Arial" w:eastAsia="Arial" w:hAnsi="Arial"/>
          <w:b w:val="false"/>
          <w:bCs w:val="false"/>
          <w:color w:val="0F172A"/>
          <w:sz w:val="21"/>
          <w:szCs w:val="21"/>
        </w:rPr>
        <w:t xml:space="preserve">Where in the sales cycle are you losing the most deals? Proposal stage? Pricing negotiation? Competitive displacement?</w:t>
      </w:r>
    </w:p>
    <w:p>
      <w:pPr>
        <w:pStyle w:val="ListParagraph"/>
        <w:numPr>
          <w:ilvl w:val="0"/>
          <w:numId w:val="3"/>
        </w:numPr>
        <w:spacing w:after="40" w:before="40"/>
      </w:pPr>
      <w:r>
        <w:rPr>
          <w:rFonts w:ascii="Arial" w:cs="Arial" w:eastAsia="Arial" w:hAnsi="Arial"/>
          <w:b w:val="false"/>
          <w:bCs w:val="false"/>
          <w:color w:val="0F172A"/>
          <w:sz w:val="21"/>
          <w:szCs w:val="21"/>
        </w:rPr>
        <w:t xml:space="preserve">How long does it take a rep to get a quote out the door from the time the customer asks for one?</w:t>
      </w:r>
    </w:p>
    <w:p>
      <w:pPr>
        <w:pStyle w:val="ListParagraph"/>
        <w:numPr>
          <w:ilvl w:val="0"/>
          <w:numId w:val="3"/>
        </w:numPr>
        <w:spacing w:after="40" w:before="40"/>
      </w:pPr>
      <w:r>
        <w:rPr>
          <w:rFonts w:ascii="Arial" w:cs="Arial" w:eastAsia="Arial" w:hAnsi="Arial"/>
          <w:b w:val="false"/>
          <w:bCs w:val="false"/>
          <w:color w:val="0F172A"/>
          <w:sz w:val="21"/>
          <w:szCs w:val="21"/>
        </w:rPr>
        <w:t xml:space="preserve">When a deal goes dark, how quickly do you know — and what's your process to re-engage?</w:t>
      </w:r>
    </w:p>
    <w:p>
      <w:pPr>
        <w:pStyle w:val="ListParagraph"/>
        <w:numPr>
          <w:ilvl w:val="0"/>
          <w:numId w:val="3"/>
        </w:numPr>
        <w:spacing w:after="40" w:before="40"/>
      </w:pPr>
      <w:r>
        <w:rPr>
          <w:rFonts w:ascii="Arial" w:cs="Arial" w:eastAsia="Arial" w:hAnsi="Arial"/>
          <w:b w:val="false"/>
          <w:bCs w:val="false"/>
          <w:color w:val="0F172A"/>
          <w:sz w:val="21"/>
          <w:szCs w:val="21"/>
        </w:rPr>
        <w:t xml:space="preserve">How do your reps know which lead or opportunity to work next? What drives that prioritization today?</w:t>
      </w:r>
    </w:p>
    <w:p>
      <w:pPr>
        <w:pStyle w:val="ListParagraph"/>
        <w:numPr>
          <w:ilvl w:val="0"/>
          <w:numId w:val="3"/>
        </w:numPr>
        <w:spacing w:after="40" w:before="40"/>
      </w:pPr>
      <w:r>
        <w:rPr>
          <w:rFonts w:ascii="Arial" w:cs="Arial" w:eastAsia="Arial" w:hAnsi="Arial"/>
          <w:b w:val="false"/>
          <w:bCs w:val="false"/>
          <w:color w:val="0F172A"/>
          <w:sz w:val="21"/>
          <w:szCs w:val="21"/>
        </w:rPr>
        <w:t xml:space="preserve">How is territory and quota structured today, and how do you handle changes mid-year?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00"/>
              <w:left w:type="dxa" w:w="200"/>
              <w:bottom w:type="dxa" w:w="100"/>
              <w:right w:type="dxa" w:w="200"/>
            </w:tcMar>
          </w:tcPr>
          <w:p>
            <w:r>
              <w:rPr>
                <w:rFonts w:ascii="Arial" w:cs="Arial" w:eastAsia="Arial" w:hAnsi="Arial"/>
                <w:b/>
                <w:bCs/>
                <w:caps/>
                <w:color w:val="DC2626"/>
                <w:spacing w:val="20"/>
                <w:sz w:val="20"/>
                <w:szCs w:val="20"/>
              </w:rPr>
              <w:t xml:space="preserve">Common Objections &amp; Responses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r>
              <w:rPr>
                <w:rFonts w:ascii="Arial" w:cs="Arial" w:eastAsia="Arial" w:hAnsi="Arial"/>
                <w:b/>
                <w:bCs/>
                <w:color w:val="DC2626"/>
                <w:sz w:val="20"/>
                <w:szCs w:val="20"/>
              </w:rPr>
              <w:t xml:space="preserve">Objection</w:t>
            </w:r>
          </w:p>
        </w:tc>
        <w:tc>
          <w:tcPr>
            <w:tcW w:type="dxa" w:w="536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r>
              <w:rPr>
                <w:rFonts w:ascii="Arial" w:cs="Arial" w:eastAsia="Arial" w:hAnsi="Arial"/>
                <w:b/>
                <w:bCs/>
                <w:color w:val="DC2626"/>
                <w:sz w:val="20"/>
                <w:szCs w:val="20"/>
              </w:rPr>
              <w:t xml:space="preserve">Response</w:t>
            </w:r>
          </w:p>
        </w:tc>
      </w:tr>
      <w:tr>
        <w:tc>
          <w:tcPr>
            <w:tcW w:type="dxa" w:w="40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tcPr>
          <w:p>
            <w:r>
              <w:rPr>
                <w:rFonts w:ascii="Arial" w:cs="Arial" w:eastAsia="Arial" w:hAnsi="Arial"/>
                <w:i/>
                <w:iCs/>
                <w:color w:val="0F172A"/>
                <w:sz w:val="20"/>
                <w:szCs w:val="20"/>
              </w:rPr>
              <w:t xml:space="preserve">Our reps won't adopt another system.</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Oracle Redwood is designed as a seller's cockpit — everything on one screen, AI doing the heavy lifting. Adoption rates jump when the system works for the rep, not against them. We can show you usage analytics from comparable rollouts.</w:t>
            </w:r>
          </w:p>
        </w:tc>
      </w:tr>
      <w:tr>
        <w:tc>
          <w:tcPr>
            <w:tcW w:type="dxa" w:w="40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tcPr>
          <w:p>
            <w:r>
              <w:rPr>
                <w:rFonts w:ascii="Arial" w:cs="Arial" w:eastAsia="Arial" w:hAnsi="Arial"/>
                <w:i/>
                <w:iCs/>
                <w:color w:val="0F172A"/>
                <w:sz w:val="20"/>
                <w:szCs w:val="20"/>
              </w:rPr>
              <w:t xml:space="preserve">We already have Salesforce.</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We hear this often. The question is: are your reps actually using it, and is your forecast accurate? Oracle CX delivers AI-native deal coaching, integrated CPQ, and Fusion ERP connectivity that Salesforce requires third-party tools to replicate. We'd love to run a head-to-head on your top 3 pain points.</w:t>
            </w:r>
          </w:p>
        </w:tc>
      </w:tr>
      <w:tr>
        <w:tc>
          <w:tcPr>
            <w:tcW w:type="dxa" w:w="40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tcPr>
          <w:p>
            <w:r>
              <w:rPr>
                <w:rFonts w:ascii="Arial" w:cs="Arial" w:eastAsia="Arial" w:hAnsi="Arial"/>
                <w:i/>
                <w:iCs/>
                <w:color w:val="0F172A"/>
                <w:sz w:val="20"/>
                <w:szCs w:val="20"/>
              </w:rPr>
              <w:t xml:space="preserve">This seems complex to implement.</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Argano uses a phased approach — Sales Cloud is live in 12–16 weeks for a standard deployment. We have accelerators for your industry and pre-built integration playbooks for common ERP environments.</w:t>
            </w:r>
          </w:p>
        </w:tc>
      </w:tr>
      <w:tr>
        <w:tc>
          <w:tcPr>
            <w:tcW w:type="dxa" w:w="40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tcPr>
          <w:p>
            <w:r>
              <w:rPr>
                <w:rFonts w:ascii="Arial" w:cs="Arial" w:eastAsia="Arial" w:hAnsi="Arial"/>
                <w:i/>
                <w:iCs/>
                <w:color w:val="0F172A"/>
                <w:sz w:val="20"/>
                <w:szCs w:val="20"/>
              </w:rPr>
              <w:t xml:space="preserve">The timing isn't right.</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Every quarter without accurate forecasting is a quarter of avoidable surprises. What would it mean to your Q2 if you knew your number with 90% confidence by week 3? Let's model the impact together.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C3" w:val="clear"/>
            <w:tcMar>
              <w:top w:type="dxa" w:w="100"/>
              <w:left w:type="dxa" w:w="200"/>
              <w:bottom w:type="dxa" w:w="100"/>
              <w:right w:type="dxa" w:w="200"/>
            </w:tcMar>
          </w:tcPr>
          <w:p>
            <w:r>
              <w:rPr>
                <w:rFonts w:ascii="Arial" w:cs="Arial" w:eastAsia="Arial" w:hAnsi="Arial"/>
                <w:b/>
                <w:bCs/>
                <w:caps/>
                <w:color w:val="92400E"/>
                <w:spacing w:val="20"/>
                <w:sz w:val="20"/>
                <w:szCs w:val="20"/>
              </w:rPr>
              <w:t xml:space="preserve">Closing Move &amp; Call to Action</w:t>
            </w:r>
          </w:p>
        </w:tc>
      </w:tr>
    </w:tbl>
    <w:p>
      <w:pPr>
        <w:spacing w:after="0" w:before="0"/>
      </w:pPr>
      <w:r>
        <w:t xml:space="preserve"/>
      </w:r>
    </w:p>
    <w:p>
      <w:pPr>
        <w:spacing w:after="60" w:before="60"/>
        <w:jc w:val="left"/>
      </w:pPr>
      <w:r>
        <w:rPr>
          <w:rFonts w:ascii="Arial" w:cs="Arial" w:eastAsia="Arial" w:hAnsi="Arial"/>
          <w:b/>
          <w:bCs/>
          <w:color w:val="FF7A18"/>
          <w:sz w:val="22"/>
          <w:szCs w:val="22"/>
        </w:rPr>
        <w:t xml:space="preserve">Closing Move: </w:t>
      </w:r>
      <w:r>
        <w:rPr>
          <w:rFonts w:ascii="Arial" w:cs="Arial" w:eastAsia="Arial" w:hAnsi="Arial"/>
          <w:color w:val="0F172A"/>
          <w:sz w:val="22"/>
          <w:szCs w:val="22"/>
        </w:rPr>
        <w:t xml:space="preserve">Ask the CRO to walk you through their single biggest forecasting miss in the last 12 months. Map it to the Oracle AI risk flag that would have caught it. Then say:</w:t>
      </w:r>
    </w:p>
    <w:p>
      <w:pPr>
        <w:spacing w:after="60" w:before="60"/>
        <w:jc w:val="left"/>
      </w:pPr>
      <w:r>
        <w:rPr>
          <w:rFonts w:ascii="Arial" w:cs="Arial" w:eastAsia="Arial" w:hAnsi="Arial"/>
          <w:i/>
          <w:iCs/>
          <w:color w:val="475569"/>
          <w:sz w:val="22"/>
          <w:szCs w:val="22"/>
        </w:rPr>
        <w:t xml:space="preserve">"What I'd like to do next is run a 2-week pipeline health audit — we import your current data, run Oracle AI scoring against it, and show you exactly how your current pipeline looks through the lens of the Oracle forecast model. No commitment, just insight. Can we get that on the calendar?"</w:t>
      </w:r>
    </w:p>
    <w:p>
      <w:pPr>
        <w:spacing w:after="0" w:before="0"/>
      </w:pPr>
      <w:r>
        <w:t xml:space="preserve"/>
      </w:r>
    </w:p>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DF4" w:val="clear"/>
            <w:tcMar>
              <w:top w:type="dxa" w:w="180"/>
              <w:left w:type="dxa" w:w="240"/>
              <w:bottom w:type="dxa" w:w="180"/>
              <w:right w:type="dxa" w:w="240"/>
            </w:tcMar>
          </w:tcPr>
          <w:p>
            <w:r>
              <w:rPr>
                <w:rFonts w:ascii="Arial" w:cs="Arial" w:eastAsia="Arial" w:hAnsi="Arial"/>
                <w:b/>
                <w:bCs/>
                <w:caps/>
                <w:color w:val="FF7A18"/>
                <w:spacing w:val="40"/>
                <w:sz w:val="18"/>
                <w:szCs w:val="18"/>
              </w:rPr>
              <w:t xml:space="preserve">PERSONA 02</w:t>
            </w:r>
          </w:p>
          <w:p>
            <w:r>
              <w:rPr>
                <w:rFonts w:ascii="Arial" w:cs="Arial" w:eastAsia="Arial" w:hAnsi="Arial"/>
                <w:b/>
                <w:bCs/>
                <w:color w:val="0F172A"/>
                <w:sz w:val="36"/>
                <w:szCs w:val="36"/>
              </w:rPr>
              <w:t xml:space="preserve">💰  CFO / Finance Leader</w:t>
            </w:r>
          </w:p>
          <w:p>
            <w:r>
              <w:rPr>
                <w:rFonts w:ascii="Arial" w:cs="Arial" w:eastAsia="Arial" w:hAnsi="Arial"/>
                <w:i/>
                <w:iCs/>
                <w:color w:val="475569"/>
                <w:sz w:val="22"/>
                <w:szCs w:val="22"/>
              </w:rPr>
              <w:t xml:space="preserve">Chief Financial Officer · VP Finance · Controller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F0" w:val="clear"/>
            <w:tcMar>
              <w:top w:type="dxa" w:w="100"/>
              <w:left w:type="dxa" w:w="200"/>
              <w:bottom w:type="dxa" w:w="100"/>
              <w:right w:type="dxa" w:w="200"/>
            </w:tcMar>
          </w:tcPr>
          <w:p>
            <w:r>
              <w:rPr>
                <w:rFonts w:ascii="Arial" w:cs="Arial" w:eastAsia="Arial" w:hAnsi="Arial"/>
                <w:b/>
                <w:bCs/>
                <w:caps/>
                <w:color w:val="FF7A18"/>
                <w:spacing w:val="20"/>
                <w:sz w:val="20"/>
                <w:szCs w:val="20"/>
              </w:rPr>
              <w:t xml:space="preserve">Persona Profile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Role</w:t>
            </w:r>
          </w:p>
        </w:tc>
        <w:tc>
          <w:tcPr>
            <w:tcW w:type="dxa" w:w="64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Chief Financial Officer · VP Finance · Controller</w:t>
            </w:r>
          </w:p>
        </w:tc>
      </w:tr>
      <w:tr>
        <w:tc>
          <w:tcPr>
            <w:tcW w:type="dxa" w:w="2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Primary Pain Points</w:t>
            </w:r>
          </w:p>
        </w:tc>
        <w:tc>
          <w:tcPr>
            <w:tcW w:type="dxa" w:w="64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Revenue recognition complexity (ASC 606) · Manual compensation calculations causing disputes · No real-time view of ARR/MRR · Deferred revenue reconciliation · Sales cost vs. revenue alignment</w:t>
            </w:r>
          </w:p>
        </w:tc>
      </w:tr>
      <w:tr>
        <w:tc>
          <w:tcPr>
            <w:tcW w:type="dxa" w:w="2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What They Care About</w:t>
            </w:r>
          </w:p>
        </w:tc>
        <w:tc>
          <w:tcPr>
            <w:tcW w:type="dxa" w:w="64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Financial accuracy and auditability · Incentive compensation fairness · Revenue recognition compliance · ROI and payback period · Reducing cost of sale</w:t>
            </w:r>
          </w:p>
        </w:tc>
      </w:tr>
      <w:tr>
        <w:tc>
          <w:tcPr>
            <w:tcW w:type="dxa" w:w="2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Questions They Ask</w:t>
            </w:r>
          </w:p>
        </w:tc>
        <w:tc>
          <w:tcPr>
            <w:tcW w:type="dxa" w:w="64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"How does this handle ASC 606?" · "What's the ROI?" · "How do we reduce comp disputes?" · "Can this integrate with our ERP?"</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00"/>
              <w:left w:type="dxa" w:w="200"/>
              <w:bottom w:type="dxa" w:w="100"/>
              <w:right w:type="dxa" w:w="200"/>
            </w:tcMar>
          </w:tcPr>
          <w:p>
            <w:r>
              <w:rPr>
                <w:rFonts w:ascii="Arial" w:cs="Arial" w:eastAsia="Arial" w:hAnsi="Arial"/>
                <w:b/>
                <w:bCs/>
                <w:caps/>
                <w:color w:val="1D4ED8"/>
                <w:spacing w:val="20"/>
                <w:sz w:val="20"/>
                <w:szCs w:val="20"/>
              </w:rPr>
              <w:t xml:space="preserve">Demo Screen Flow</w:t>
            </w:r>
          </w:p>
        </w:tc>
      </w:tr>
    </w:tbl>
    <w:p>
      <w:pPr>
        <w:spacing w:after="0" w:before="0"/>
      </w:pPr>
      <w:r>
        <w:t xml:space="preserve"/>
      </w:r>
    </w:p>
    <w:p>
      <w:pPr>
        <w:spacing w:after="60" w:before="60"/>
        <w:jc w:val="left"/>
      </w:pPr>
      <w:r>
        <w:rPr>
          <w:rFonts w:ascii="Arial" w:cs="Arial" w:eastAsia="Arial" w:hAnsi="Arial"/>
          <w:b/>
          <w:bCs/>
          <w:i w:val="false"/>
          <w:iCs w:val="false"/>
          <w:color w:val="0F172A"/>
          <w:sz w:val="22"/>
          <w:szCs w:val="22"/>
        </w:rPr>
        <w:t xml:space="preserve">Total demo time: 25–35 minutes  ·  Screens: 4</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2800"/>
        <w:gridCol w:w="2600"/>
      </w:tblGrid>
      <w:tr>
        <w:tc>
          <w:tcPr>
            <w:tcW w:type="dxa" w:w="144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52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2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Key Talking Points</w:t>
            </w:r>
          </w:p>
        </w:tc>
        <w:tc>
          <w:tcPr>
            <w:tcW w:type="dxa" w:w="2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1440"/>
            <w:tcBorders>
              <w:top w:val="single" w:color="E2E8F0" w:sz="1"/>
              <w:left w:val="single" w:color="E2E8F0" w:sz="1"/>
              <w:bottom w:val="single" w:color="E2E8F0" w:sz="1"/>
              <w:right w:val="single" w:color="E2E8F0" w:sz="1"/>
            </w:tcBorders>
            <w:shd w:fill="FFF7F0" w:val="clear"/>
            <w:tcMar>
              <w:top w:type="dxa" w:w="80"/>
              <w:left w:type="dxa" w:w="120"/>
              <w:bottom w:type="dxa" w:w="80"/>
              <w:right w:type="dxa" w:w="120"/>
            </w:tcMar>
          </w:tcPr>
          <w:p>
            <w:r>
              <w:rPr>
                <w:rFonts w:ascii="Arial" w:cs="Arial" w:eastAsia="Arial" w:hAnsi="Arial"/>
                <w:b/>
                <w:bCs/>
                <w:color w:val="FF7A18"/>
                <w:sz w:val="20"/>
                <w:szCs w:val="20"/>
              </w:rPr>
              <w:t xml:space="preserve">1</w:t>
            </w:r>
          </w:p>
        </w:tc>
        <w:tc>
          <w:tcPr>
            <w:tcW w:type="dxa" w:w="25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subscription_lifecycle.html</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9"/>
                <w:szCs w:val="19"/>
              </w:rPr>
              <w:t xml:space="preserve">Subscription terms, billing schedule, ASC 606 recognition, deferred revenue</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10 min</w:t>
            </w:r>
          </w:p>
        </w:tc>
      </w:tr>
      <w:tr>
        <w:tc>
          <w:tcPr>
            <w:tcW w:type="dxa" w:w="1440"/>
            <w:tcBorders>
              <w:top w:val="single" w:color="E2E8F0" w:sz="1"/>
              <w:left w:val="single" w:color="E2E8F0" w:sz="1"/>
              <w:bottom w:val="single" w:color="E2E8F0" w:sz="1"/>
              <w:right w:val="single" w:color="E2E8F0" w:sz="1"/>
            </w:tcBorders>
            <w:shd w:fill="FFF7F0" w:val="clear"/>
            <w:tcMar>
              <w:top w:type="dxa" w:w="80"/>
              <w:left w:type="dxa" w:w="120"/>
              <w:bottom w:type="dxa" w:w="80"/>
              <w:right w:type="dxa" w:w="120"/>
            </w:tcMar>
          </w:tcPr>
          <w:p>
            <w:r>
              <w:rPr>
                <w:rFonts w:ascii="Arial" w:cs="Arial" w:eastAsia="Arial" w:hAnsi="Arial"/>
                <w:b/>
                <w:bCs/>
                <w:color w:val="FF7A18"/>
                <w:sz w:val="20"/>
                <w:szCs w:val="20"/>
              </w:rPr>
              <w:t xml:space="preserve">2</w:t>
            </w:r>
          </w:p>
        </w:tc>
        <w:tc>
          <w:tcPr>
            <w:tcW w:type="dxa" w:w="25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icm_compensation.html</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9"/>
                <w:szCs w:val="19"/>
              </w:rPr>
              <w:t xml:space="preserve">Comp plan design, transaction register, payout history, dispute workflow</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8 min</w:t>
            </w:r>
          </w:p>
        </w:tc>
      </w:tr>
      <w:tr>
        <w:tc>
          <w:tcPr>
            <w:tcW w:type="dxa" w:w="1440"/>
            <w:tcBorders>
              <w:top w:val="single" w:color="E2E8F0" w:sz="1"/>
              <w:left w:val="single" w:color="E2E8F0" w:sz="1"/>
              <w:bottom w:val="single" w:color="E2E8F0" w:sz="1"/>
              <w:right w:val="single" w:color="E2E8F0" w:sz="1"/>
            </w:tcBorders>
            <w:shd w:fill="FFF7F0" w:val="clear"/>
            <w:tcMar>
              <w:top w:type="dxa" w:w="80"/>
              <w:left w:type="dxa" w:w="120"/>
              <w:bottom w:type="dxa" w:w="80"/>
              <w:right w:type="dxa" w:w="120"/>
            </w:tcMar>
          </w:tcPr>
          <w:p>
            <w:r>
              <w:rPr>
                <w:rFonts w:ascii="Arial" w:cs="Arial" w:eastAsia="Arial" w:hAnsi="Arial"/>
                <w:b/>
                <w:bCs/>
                <w:color w:val="FF7A18"/>
                <w:sz w:val="20"/>
                <w:szCs w:val="20"/>
              </w:rPr>
              <w:t xml:space="preserve">3</w:t>
            </w:r>
          </w:p>
        </w:tc>
        <w:tc>
          <w:tcPr>
            <w:tcW w:type="dxa" w:w="25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cpq_quote_builder.html</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9"/>
                <w:szCs w:val="19"/>
              </w:rPr>
              <w:t xml:space="preserve">Pricing waterfall, margin analysis, discount governance, approval controls</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7 min</w:t>
            </w:r>
          </w:p>
        </w:tc>
      </w:tr>
      <w:tr>
        <w:tc>
          <w:tcPr>
            <w:tcW w:type="dxa" w:w="1440"/>
            <w:tcBorders>
              <w:top w:val="single" w:color="E2E8F0" w:sz="1"/>
              <w:left w:val="single" w:color="E2E8F0" w:sz="1"/>
              <w:bottom w:val="single" w:color="E2E8F0" w:sz="1"/>
              <w:right w:val="single" w:color="E2E8F0" w:sz="1"/>
            </w:tcBorders>
            <w:shd w:fill="FFF7F0" w:val="clear"/>
            <w:tcMar>
              <w:top w:type="dxa" w:w="80"/>
              <w:left w:type="dxa" w:w="120"/>
              <w:bottom w:type="dxa" w:w="80"/>
              <w:right w:type="dxa" w:w="120"/>
            </w:tcMar>
          </w:tcPr>
          <w:p>
            <w:r>
              <w:rPr>
                <w:rFonts w:ascii="Arial" w:cs="Arial" w:eastAsia="Arial" w:hAnsi="Arial"/>
                <w:b/>
                <w:bCs/>
                <w:color w:val="FF7A18"/>
                <w:sz w:val="20"/>
                <w:szCs w:val="20"/>
              </w:rPr>
              <w:t xml:space="preserve">4</w:t>
            </w:r>
          </w:p>
        </w:tc>
        <w:tc>
          <w:tcPr>
            <w:tcW w:type="dxa" w:w="25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analytics.html</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9"/>
                <w:szCs w:val="19"/>
              </w:rPr>
              <w:t xml:space="preserve">Revenue intelligence, deal margin, cost-of-sale analytics</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5 min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00"/>
              <w:left w:type="dxa" w:w="200"/>
              <w:bottom w:type="dxa" w:w="100"/>
              <w:right w:type="dxa" w:w="200"/>
            </w:tcMar>
          </w:tcPr>
          <w:p>
            <w:r>
              <w:rPr>
                <w:rFonts w:ascii="Arial" w:cs="Arial" w:eastAsia="Arial" w:hAnsi="Arial"/>
                <w:b/>
                <w:bCs/>
                <w:caps/>
                <w:color w:val="15803D"/>
                <w:spacing w:val="20"/>
                <w:sz w:val="20"/>
                <w:szCs w:val="20"/>
              </w:rPr>
              <w:t xml:space="preserve">Detailed Talking Points</w:t>
            </w:r>
          </w:p>
        </w:tc>
      </w:tr>
    </w:tbl>
    <w:p>
      <w:pPr>
        <w:spacing w:after="0" w:before="0"/>
      </w:pPr>
      <w:r>
        <w:t xml:space="preserve"/>
      </w:r>
    </w:p>
    <w:p>
      <w:pPr>
        <w:pStyle w:val="Heading3"/>
      </w:pPr>
      <w:r>
        <w:t xml:space="preserve">subscription_lifecycle.html — Subscription &amp; Revenue</w:t>
      </w:r>
    </w:p>
    <w:p>
      <w:pPr>
        <w:pStyle w:val="ListParagraph"/>
        <w:numPr>
          <w:ilvl w:val="0"/>
          <w:numId w:val="2"/>
        </w:numPr>
        <w:spacing w:after="40" w:before="40"/>
      </w:pPr>
      <w:r>
        <w:rPr>
          <w:rFonts w:ascii="Arial" w:cs="Arial" w:eastAsia="Arial" w:hAnsi="Arial"/>
          <w:b w:val="false"/>
          <w:bCs w:val="false"/>
          <w:color w:val="0F172A"/>
          <w:sz w:val="21"/>
          <w:szCs w:val="21"/>
        </w:rPr>
        <w:t xml:space="preserve">Oracle Subscription Cloud handles multi-element arrangements under ASC 606 — standalone selling prices, allocation rules, and recognition schedules are automated, not manual.</w:t>
      </w:r>
    </w:p>
    <w:p>
      <w:pPr>
        <w:pStyle w:val="ListParagraph"/>
        <w:numPr>
          <w:ilvl w:val="0"/>
          <w:numId w:val="2"/>
        </w:numPr>
        <w:spacing w:after="40" w:before="40"/>
      </w:pPr>
      <w:r>
        <w:rPr>
          <w:rFonts w:ascii="Arial" w:cs="Arial" w:eastAsia="Arial" w:hAnsi="Arial"/>
          <w:b w:val="false"/>
          <w:bCs w:val="false"/>
          <w:color w:val="0F172A"/>
          <w:sz w:val="21"/>
          <w:szCs w:val="21"/>
        </w:rPr>
        <w:t xml:space="preserve">The billing schedule is deterministic: every invoice date, amount, and payment term is set at subscription creation and flows automatically to Oracle RMCS (Revenue Management Cloud Service).</w:t>
      </w:r>
    </w:p>
    <w:p>
      <w:pPr>
        <w:pStyle w:val="ListParagraph"/>
        <w:numPr>
          <w:ilvl w:val="0"/>
          <w:numId w:val="2"/>
        </w:numPr>
        <w:spacing w:after="40" w:before="40"/>
      </w:pPr>
      <w:r>
        <w:rPr>
          <w:rFonts w:ascii="Arial" w:cs="Arial" w:eastAsia="Arial" w:hAnsi="Arial"/>
          <w:b w:val="false"/>
          <w:bCs w:val="false"/>
          <w:color w:val="0F172A"/>
          <w:sz w:val="21"/>
          <w:szCs w:val="21"/>
        </w:rPr>
        <w:t xml:space="preserve">Deferred revenue waterfall: see exactly how much revenue is unearned vs. recognized month by month — the auditor's view is built in.</w:t>
      </w:r>
    </w:p>
    <w:p>
      <w:pPr>
        <w:pStyle w:val="ListParagraph"/>
        <w:numPr>
          <w:ilvl w:val="0"/>
          <w:numId w:val="2"/>
        </w:numPr>
        <w:spacing w:after="40" w:before="40"/>
      </w:pPr>
      <w:r>
        <w:rPr>
          <w:rFonts w:ascii="Arial" w:cs="Arial" w:eastAsia="Arial" w:hAnsi="Arial"/>
          <w:b w:val="false"/>
          <w:bCs w:val="false"/>
          <w:color w:val="0F172A"/>
          <w:sz w:val="21"/>
          <w:szCs w:val="21"/>
        </w:rPr>
        <w:t xml:space="preserve">Amendments (upgrades, downgrades, seat changes) trigger automated proration calculations with audit trail — no spreadsheet, no reconciliation risk.</w:t>
      </w:r>
    </w:p>
    <w:p>
      <w:pPr>
        <w:pStyle w:val="ListParagraph"/>
        <w:numPr>
          <w:ilvl w:val="0"/>
          <w:numId w:val="2"/>
        </w:numPr>
        <w:spacing w:after="40" w:before="40"/>
      </w:pPr>
      <w:r>
        <w:rPr>
          <w:rFonts w:ascii="Arial" w:cs="Arial" w:eastAsia="Arial" w:hAnsi="Arial"/>
          <w:b w:val="false"/>
          <w:bCs w:val="false"/>
          <w:color w:val="0F172A"/>
          <w:sz w:val="21"/>
          <w:szCs w:val="21"/>
        </w:rPr>
        <w:t xml:space="preserve">Auto-renewal with 60-day cancellation window means no revenue surprise at renewal — the system flags at-risk renewals 90 days out.</w:t>
      </w:r>
    </w:p>
    <w:p>
      <w:pPr>
        <w:spacing w:after="0" w:before="0"/>
      </w:pPr>
      <w:r>
        <w:t xml:space="preserve"/>
      </w:r>
    </w:p>
    <w:p>
      <w:pPr>
        <w:pStyle w:val="Heading3"/>
      </w:pPr>
      <w:r>
        <w:t xml:space="preserve">icm_compensation.html — ICM Compensation</w:t>
      </w:r>
    </w:p>
    <w:p>
      <w:pPr>
        <w:pStyle w:val="ListParagraph"/>
        <w:numPr>
          <w:ilvl w:val="0"/>
          <w:numId w:val="2"/>
        </w:numPr>
        <w:spacing w:after="40" w:before="40"/>
      </w:pPr>
      <w:r>
        <w:rPr>
          <w:rFonts w:ascii="Arial" w:cs="Arial" w:eastAsia="Arial" w:hAnsi="Arial"/>
          <w:b w:val="false"/>
          <w:bCs w:val="false"/>
          <w:color w:val="0F172A"/>
          <w:sz w:val="21"/>
          <w:szCs w:val="21"/>
        </w:rPr>
        <w:t xml:space="preserve">Oracle ICM is the system of record for every commission dollar: plan rules, quota, transaction credits, calculation logic, and payout — all auditable, all traceable.</w:t>
      </w:r>
    </w:p>
    <w:p>
      <w:pPr>
        <w:pStyle w:val="ListParagraph"/>
        <w:numPr>
          <w:ilvl w:val="0"/>
          <w:numId w:val="2"/>
        </w:numPr>
        <w:spacing w:after="40" w:before="40"/>
      </w:pPr>
      <w:r>
        <w:rPr>
          <w:rFonts w:ascii="Arial" w:cs="Arial" w:eastAsia="Arial" w:hAnsi="Arial"/>
          <w:b w:val="false"/>
          <w:bCs w:val="false"/>
          <w:color w:val="0F172A"/>
          <w:sz w:val="21"/>
          <w:szCs w:val="21"/>
        </w:rPr>
        <w:t xml:space="preserve">Transaction register: every deal is credited with date, amount, product, discount, and commission calculation. Reps can see their own register, managers see their team's.</w:t>
      </w:r>
    </w:p>
    <w:p>
      <w:pPr>
        <w:pStyle w:val="ListParagraph"/>
        <w:numPr>
          <w:ilvl w:val="0"/>
          <w:numId w:val="2"/>
        </w:numPr>
        <w:spacing w:after="40" w:before="40"/>
      </w:pPr>
      <w:r>
        <w:rPr>
          <w:rFonts w:ascii="Arial" w:cs="Arial" w:eastAsia="Arial" w:hAnsi="Arial"/>
          <w:b w:val="false"/>
          <w:bCs w:val="false"/>
          <w:color w:val="0F172A"/>
          <w:sz w:val="21"/>
          <w:szCs w:val="21"/>
        </w:rPr>
        <w:t xml:space="preserve">Dispute workflow: reps flag a transaction, submit the reason, and the dispute routes to sales ops and finance for review — resolved in 5 business days with a complete audit trail.</w:t>
      </w:r>
    </w:p>
    <w:p>
      <w:pPr>
        <w:pStyle w:val="ListParagraph"/>
        <w:numPr>
          <w:ilvl w:val="0"/>
          <w:numId w:val="2"/>
        </w:numPr>
        <w:spacing w:after="40" w:before="40"/>
      </w:pPr>
      <w:r>
        <w:rPr>
          <w:rFonts w:ascii="Arial" w:cs="Arial" w:eastAsia="Arial" w:hAnsi="Arial"/>
          <w:b w:val="false"/>
          <w:bCs w:val="false"/>
          <w:color w:val="0F172A"/>
          <w:sz w:val="21"/>
          <w:szCs w:val="21"/>
        </w:rPr>
        <w:t xml:space="preserve">Payout history shows every quarter's calculated commission, approved amount, and pay date — eliminating "I was paid wrong" conversations.</w:t>
      </w:r>
    </w:p>
    <w:p>
      <w:pPr>
        <w:pStyle w:val="ListParagraph"/>
        <w:numPr>
          <w:ilvl w:val="0"/>
          <w:numId w:val="2"/>
        </w:numPr>
        <w:spacing w:after="40" w:before="40"/>
      </w:pPr>
      <w:r>
        <w:rPr>
          <w:rFonts w:ascii="Arial" w:cs="Arial" w:eastAsia="Arial" w:hAnsi="Arial"/>
          <w:b w:val="false"/>
          <w:bCs w:val="false"/>
          <w:color w:val="0F172A"/>
          <w:sz w:val="21"/>
          <w:szCs w:val="21"/>
        </w:rPr>
        <w:t xml:space="preserve">Comp plan versioning: every plan change is tracked with effective dates — no retroactive confusion.</w:t>
      </w:r>
    </w:p>
    <w:p>
      <w:pPr>
        <w:spacing w:after="0" w:before="0"/>
      </w:pPr>
      <w:r>
        <w:t xml:space="preserve"/>
      </w:r>
    </w:p>
    <w:p>
      <w:pPr>
        <w:pStyle w:val="Heading3"/>
      </w:pPr>
      <w:r>
        <w:t xml:space="preserve">cpq_quote_builder.html — Pricing Governance</w:t>
      </w:r>
    </w:p>
    <w:p>
      <w:pPr>
        <w:pStyle w:val="ListParagraph"/>
        <w:numPr>
          <w:ilvl w:val="0"/>
          <w:numId w:val="2"/>
        </w:numPr>
        <w:spacing w:after="40" w:before="40"/>
      </w:pPr>
      <w:r>
        <w:rPr>
          <w:rFonts w:ascii="Arial" w:cs="Arial" w:eastAsia="Arial" w:hAnsi="Arial"/>
          <w:b w:val="false"/>
          <w:bCs w:val="false"/>
          <w:color w:val="0F172A"/>
          <w:sz w:val="21"/>
          <w:szCs w:val="21"/>
        </w:rPr>
        <w:t xml:space="preserve">Pricing Waterfall is the finance team's view of every deal: list price → discounts applied → net customer price → margin. No black box.</w:t>
      </w:r>
    </w:p>
    <w:p>
      <w:pPr>
        <w:pStyle w:val="ListParagraph"/>
        <w:numPr>
          <w:ilvl w:val="0"/>
          <w:numId w:val="2"/>
        </w:numPr>
        <w:spacing w:after="40" w:before="40"/>
      </w:pPr>
      <w:r>
        <w:rPr>
          <w:rFonts w:ascii="Arial" w:cs="Arial" w:eastAsia="Arial" w:hAnsi="Arial"/>
          <w:b w:val="false"/>
          <w:bCs w:val="false"/>
          <w:color w:val="0F172A"/>
          <w:sz w:val="21"/>
          <w:szCs w:val="21"/>
        </w:rPr>
        <w:t xml:space="preserve">Discount authority tiers are enforced in the system: rep can approve up to 10%, manager up to 18%, deal desk above that. No rogue discounting.</w:t>
      </w:r>
    </w:p>
    <w:p>
      <w:pPr>
        <w:pStyle w:val="ListParagraph"/>
        <w:numPr>
          <w:ilvl w:val="0"/>
          <w:numId w:val="2"/>
        </w:numPr>
        <w:spacing w:after="40" w:before="40"/>
      </w:pPr>
      <w:r>
        <w:rPr>
          <w:rFonts w:ascii="Arial" w:cs="Arial" w:eastAsia="Arial" w:hAnsi="Arial"/>
          <w:b w:val="false"/>
          <w:bCs w:val="false"/>
          <w:color w:val="0F172A"/>
          <w:sz w:val="21"/>
          <w:szCs w:val="21"/>
        </w:rPr>
        <w:t xml:space="preserve">Margin analysis on every quote: cost vs. list vs. net — if a quote is below minimum margin threshold, it flags automatically before submission.</w:t>
      </w:r>
    </w:p>
    <w:p>
      <w:pPr>
        <w:pStyle w:val="ListParagraph"/>
        <w:numPr>
          <w:ilvl w:val="0"/>
          <w:numId w:val="2"/>
        </w:numPr>
        <w:spacing w:after="40" w:before="40"/>
      </w:pPr>
      <w:r>
        <w:rPr>
          <w:rFonts w:ascii="Arial" w:cs="Arial" w:eastAsia="Arial" w:hAnsi="Arial"/>
          <w:b w:val="false"/>
          <w:bCs w:val="false"/>
          <w:color w:val="0F172A"/>
          <w:sz w:val="21"/>
          <w:szCs w:val="21"/>
        </w:rPr>
        <w:t xml:space="preserve">Quote-to-order integration: when the customer signs, the order is created in Oracle Fusion automatically — revenue recognition starts on the correct date with no manual entry.</w:t>
      </w:r>
    </w:p>
    <w:p>
      <w:pPr>
        <w:spacing w:after="0" w:before="0"/>
      </w:pPr>
      <w:r>
        <w:t xml:space="preserve"/>
      </w:r>
    </w:p>
    <w:p>
      <w:pPr>
        <w:pStyle w:val="Heading3"/>
      </w:pPr>
      <w:r>
        <w:t xml:space="preserve">analytics.html — Revenue Analytics</w:t>
      </w:r>
    </w:p>
    <w:p>
      <w:pPr>
        <w:pStyle w:val="ListParagraph"/>
        <w:numPr>
          <w:ilvl w:val="0"/>
          <w:numId w:val="2"/>
        </w:numPr>
        <w:spacing w:after="40" w:before="40"/>
      </w:pPr>
      <w:r>
        <w:rPr>
          <w:rFonts w:ascii="Arial" w:cs="Arial" w:eastAsia="Arial" w:hAnsi="Arial"/>
          <w:b w:val="false"/>
          <w:bCs w:val="false"/>
          <w:color w:val="0F172A"/>
          <w:sz w:val="21"/>
          <w:szCs w:val="21"/>
        </w:rPr>
        <w:t xml:space="preserve">ARR/MRR dashboards: total recurring revenue, new ARR, churned ARR, expansion ARR — the metrics your board wants in real time.</w:t>
      </w:r>
    </w:p>
    <w:p>
      <w:pPr>
        <w:pStyle w:val="ListParagraph"/>
        <w:numPr>
          <w:ilvl w:val="0"/>
          <w:numId w:val="2"/>
        </w:numPr>
        <w:spacing w:after="40" w:before="40"/>
      </w:pPr>
      <w:r>
        <w:rPr>
          <w:rFonts w:ascii="Arial" w:cs="Arial" w:eastAsia="Arial" w:hAnsi="Arial"/>
          <w:b w:val="false"/>
          <w:bCs w:val="false"/>
          <w:color w:val="0F172A"/>
          <w:sz w:val="21"/>
          <w:szCs w:val="21"/>
        </w:rPr>
        <w:t xml:space="preserve">Deal margin report: average margin by product, territory, rep, and deal size — identify where you're leaving margin on the table.</w:t>
      </w:r>
    </w:p>
    <w:p>
      <w:pPr>
        <w:pStyle w:val="ListParagraph"/>
        <w:numPr>
          <w:ilvl w:val="0"/>
          <w:numId w:val="2"/>
        </w:numPr>
        <w:spacing w:after="40" w:before="40"/>
      </w:pPr>
      <w:r>
        <w:rPr>
          <w:rFonts w:ascii="Arial" w:cs="Arial" w:eastAsia="Arial" w:hAnsi="Arial"/>
          <w:b w:val="false"/>
          <w:bCs w:val="false"/>
          <w:color w:val="0F172A"/>
          <w:sz w:val="21"/>
          <w:szCs w:val="21"/>
        </w:rPr>
        <w:t xml:space="preserve">Cost of sales: commission paid vs. revenue recognized by period — see your sales efficiency ratio trending over time.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8FF" w:val="clear"/>
            <w:tcMar>
              <w:top w:type="dxa" w:w="100"/>
              <w:left w:type="dxa" w:w="200"/>
              <w:bottom w:type="dxa" w:w="100"/>
              <w:right w:type="dxa" w:w="200"/>
            </w:tcMar>
          </w:tcPr>
          <w:p>
            <w:r>
              <w:rPr>
                <w:rFonts w:ascii="Arial" w:cs="Arial" w:eastAsia="Arial" w:hAnsi="Arial"/>
                <w:b/>
                <w:bCs/>
                <w:caps/>
                <w:color w:val="7C3AED"/>
                <w:spacing w:val="20"/>
                <w:sz w:val="20"/>
                <w:szCs w:val="20"/>
              </w:rPr>
              <w:t xml:space="preserve">Discovery Questions to Ask</w:t>
            </w:r>
          </w:p>
        </w:tc>
      </w:tr>
    </w:tbl>
    <w:p>
      <w:pPr>
        <w:spacing w:after="0" w:before="0"/>
      </w:pPr>
      <w:r>
        <w:t xml:space="preserve"/>
      </w:r>
    </w:p>
    <w:p>
      <w:pPr>
        <w:pStyle w:val="ListParagraph"/>
        <w:numPr>
          <w:ilvl w:val="0"/>
          <w:numId w:val="3"/>
        </w:numPr>
        <w:spacing w:after="40" w:before="40"/>
      </w:pPr>
      <w:r>
        <w:rPr>
          <w:rFonts w:ascii="Arial" w:cs="Arial" w:eastAsia="Arial" w:hAnsi="Arial"/>
          <w:b w:val="false"/>
          <w:bCs w:val="false"/>
          <w:color w:val="0F172A"/>
          <w:sz w:val="21"/>
          <w:szCs w:val="21"/>
        </w:rPr>
        <w:t xml:space="preserve">How do you currently handle revenue recognition for multi-year or subscription deals — is it automated or manual?</w:t>
      </w:r>
    </w:p>
    <w:p>
      <w:pPr>
        <w:pStyle w:val="ListParagraph"/>
        <w:numPr>
          <w:ilvl w:val="0"/>
          <w:numId w:val="3"/>
        </w:numPr>
        <w:spacing w:after="40" w:before="40"/>
      </w:pPr>
      <w:r>
        <w:rPr>
          <w:rFonts w:ascii="Arial" w:cs="Arial" w:eastAsia="Arial" w:hAnsi="Arial"/>
          <w:b w:val="false"/>
          <w:bCs w:val="false"/>
          <w:color w:val="0F172A"/>
          <w:sz w:val="21"/>
          <w:szCs w:val="21"/>
        </w:rPr>
        <w:t xml:space="preserve">How many comp disputes do you process per quarter, and what's the average time to resolve them?</w:t>
      </w:r>
    </w:p>
    <w:p>
      <w:pPr>
        <w:pStyle w:val="ListParagraph"/>
        <w:numPr>
          <w:ilvl w:val="0"/>
          <w:numId w:val="3"/>
        </w:numPr>
        <w:spacing w:after="40" w:before="40"/>
      </w:pPr>
      <w:r>
        <w:rPr>
          <w:rFonts w:ascii="Arial" w:cs="Arial" w:eastAsia="Arial" w:hAnsi="Arial"/>
          <w:b w:val="false"/>
          <w:bCs w:val="false"/>
          <w:color w:val="0F172A"/>
          <w:sz w:val="21"/>
          <w:szCs w:val="21"/>
        </w:rPr>
        <w:t xml:space="preserve">When a deal closes, how long does it take for the order to appear in your financial system?</w:t>
      </w:r>
    </w:p>
    <w:p>
      <w:pPr>
        <w:pStyle w:val="ListParagraph"/>
        <w:numPr>
          <w:ilvl w:val="0"/>
          <w:numId w:val="3"/>
        </w:numPr>
        <w:spacing w:after="40" w:before="40"/>
      </w:pPr>
      <w:r>
        <w:rPr>
          <w:rFonts w:ascii="Arial" w:cs="Arial" w:eastAsia="Arial" w:hAnsi="Arial"/>
          <w:b w:val="false"/>
          <w:bCs w:val="false"/>
          <w:color w:val="0F172A"/>
          <w:sz w:val="21"/>
          <w:szCs w:val="21"/>
        </w:rPr>
        <w:t xml:space="preserve">What's your current process for discount approval — and how do you ensure compliance with your pricing policies?</w:t>
      </w:r>
    </w:p>
    <w:p>
      <w:pPr>
        <w:pStyle w:val="ListParagraph"/>
        <w:numPr>
          <w:ilvl w:val="0"/>
          <w:numId w:val="3"/>
        </w:numPr>
        <w:spacing w:after="40" w:before="40"/>
      </w:pPr>
      <w:r>
        <w:rPr>
          <w:rFonts w:ascii="Arial" w:cs="Arial" w:eastAsia="Arial" w:hAnsi="Arial"/>
          <w:b w:val="false"/>
          <w:bCs w:val="false"/>
          <w:color w:val="0F172A"/>
          <w:sz w:val="21"/>
          <w:szCs w:val="21"/>
        </w:rPr>
        <w:t xml:space="preserve">How confident are you in your deferred revenue balance at any point in the quarter?</w:t>
      </w:r>
    </w:p>
    <w:p>
      <w:pPr>
        <w:pStyle w:val="ListParagraph"/>
        <w:numPr>
          <w:ilvl w:val="0"/>
          <w:numId w:val="3"/>
        </w:numPr>
        <w:spacing w:after="40" w:before="40"/>
      </w:pPr>
      <w:r>
        <w:rPr>
          <w:rFonts w:ascii="Arial" w:cs="Arial" w:eastAsia="Arial" w:hAnsi="Arial"/>
          <w:b w:val="false"/>
          <w:bCs w:val="false"/>
          <w:color w:val="0F172A"/>
          <w:sz w:val="21"/>
          <w:szCs w:val="21"/>
        </w:rPr>
        <w:t xml:space="preserve">What would a 1% improvement in deal margin mean to your bottom line annually?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00"/>
              <w:left w:type="dxa" w:w="200"/>
              <w:bottom w:type="dxa" w:w="100"/>
              <w:right w:type="dxa" w:w="200"/>
            </w:tcMar>
          </w:tcPr>
          <w:p>
            <w:r>
              <w:rPr>
                <w:rFonts w:ascii="Arial" w:cs="Arial" w:eastAsia="Arial" w:hAnsi="Arial"/>
                <w:b/>
                <w:bCs/>
                <w:caps/>
                <w:color w:val="DC2626"/>
                <w:spacing w:val="20"/>
                <w:sz w:val="20"/>
                <w:szCs w:val="20"/>
              </w:rPr>
              <w:t xml:space="preserve">Common Objections &amp; Responses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r>
              <w:rPr>
                <w:rFonts w:ascii="Arial" w:cs="Arial" w:eastAsia="Arial" w:hAnsi="Arial"/>
                <w:b/>
                <w:bCs/>
                <w:color w:val="DC2626"/>
                <w:sz w:val="20"/>
                <w:szCs w:val="20"/>
              </w:rPr>
              <w:t xml:space="preserve">Objection</w:t>
            </w:r>
          </w:p>
        </w:tc>
        <w:tc>
          <w:tcPr>
            <w:tcW w:type="dxa" w:w="536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r>
              <w:rPr>
                <w:rFonts w:ascii="Arial" w:cs="Arial" w:eastAsia="Arial" w:hAnsi="Arial"/>
                <w:b/>
                <w:bCs/>
                <w:color w:val="DC2626"/>
                <w:sz w:val="20"/>
                <w:szCs w:val="20"/>
              </w:rPr>
              <w:t xml:space="preserve">Response</w:t>
            </w:r>
          </w:p>
        </w:tc>
      </w:tr>
      <w:tr>
        <w:tc>
          <w:tcPr>
            <w:tcW w:type="dxa" w:w="40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tcPr>
          <w:p>
            <w:r>
              <w:rPr>
                <w:rFonts w:ascii="Arial" w:cs="Arial" w:eastAsia="Arial" w:hAnsi="Arial"/>
                <w:i/>
                <w:iCs/>
                <w:color w:val="0F172A"/>
                <w:sz w:val="20"/>
                <w:szCs w:val="20"/>
              </w:rPr>
              <w:t xml:space="preserve">We use NetSuite / SAP — will this integrate?</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Oracle CX is pre-integrated with Oracle Fusion ERP. For NetSuite or SAP, Argano has built and delivered these integration patterns for multiple clients — we use Oracle Integration Cloud (OIC) with pre-built connectors. We can show you a reference architecture.</w:t>
            </w:r>
          </w:p>
        </w:tc>
      </w:tr>
      <w:tr>
        <w:tc>
          <w:tcPr>
            <w:tcW w:type="dxa" w:w="40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tcPr>
          <w:p>
            <w:r>
              <w:rPr>
                <w:rFonts w:ascii="Arial" w:cs="Arial" w:eastAsia="Arial" w:hAnsi="Arial"/>
                <w:i/>
                <w:iCs/>
                <w:color w:val="0F172A"/>
                <w:sz w:val="20"/>
                <w:szCs w:val="20"/>
              </w:rPr>
              <w:t xml:space="preserve">Our comp plans are too complex for a system to handle.</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Oracle ICM handles multi-tier accelerators, SPIFs, overlay compensation, and non-standard credit rules out of the box. We've implemented ICM for companies with 200+ unique plan variants. Let's walk through your most complex plan element and show you how ICM models it.</w:t>
            </w:r>
          </w:p>
        </w:tc>
      </w:tr>
      <w:tr>
        <w:tc>
          <w:tcPr>
            <w:tcW w:type="dxa" w:w="40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tcPr>
          <w:p>
            <w:r>
              <w:rPr>
                <w:rFonts w:ascii="Arial" w:cs="Arial" w:eastAsia="Arial" w:hAnsi="Arial"/>
                <w:i/>
                <w:iCs/>
                <w:color w:val="0F172A"/>
                <w:sz w:val="20"/>
                <w:szCs w:val="20"/>
              </w:rPr>
              <w:t xml:space="preserve">What's the ROI timeline?</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For a 100-rep sales org, Argano typically models: 1.5% improvement in win rate = $X revenue; 40% reduction in quote cycle time; 60% reduction in comp disputes. We have an ROI calculator we can run with your numbers in 30 minutes.</w:t>
            </w:r>
          </w:p>
        </w:tc>
      </w:tr>
      <w:tr>
        <w:tc>
          <w:tcPr>
            <w:tcW w:type="dxa" w:w="40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tcPr>
          <w:p>
            <w:r>
              <w:rPr>
                <w:rFonts w:ascii="Arial" w:cs="Arial" w:eastAsia="Arial" w:hAnsi="Arial"/>
                <w:i/>
                <w:iCs/>
                <w:color w:val="0F172A"/>
                <w:sz w:val="20"/>
                <w:szCs w:val="20"/>
              </w:rPr>
              <w:t xml:space="preserve">We're mid-year — bad time to change comp systems.</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ICM can be implemented in parallel with your existing system and go live at the start of your next comp period. We've done mid-year go-lives for urgent situations — it's manageable with the right plan.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C3" w:val="clear"/>
            <w:tcMar>
              <w:top w:type="dxa" w:w="100"/>
              <w:left w:type="dxa" w:w="200"/>
              <w:bottom w:type="dxa" w:w="100"/>
              <w:right w:type="dxa" w:w="200"/>
            </w:tcMar>
          </w:tcPr>
          <w:p>
            <w:r>
              <w:rPr>
                <w:rFonts w:ascii="Arial" w:cs="Arial" w:eastAsia="Arial" w:hAnsi="Arial"/>
                <w:b/>
                <w:bCs/>
                <w:caps/>
                <w:color w:val="92400E"/>
                <w:spacing w:val="20"/>
                <w:sz w:val="20"/>
                <w:szCs w:val="20"/>
              </w:rPr>
              <w:t xml:space="preserve">Closing Move &amp; Call to Action</w:t>
            </w:r>
          </w:p>
        </w:tc>
      </w:tr>
    </w:tbl>
    <w:p>
      <w:pPr>
        <w:spacing w:after="0" w:before="0"/>
      </w:pPr>
      <w:r>
        <w:t xml:space="preserve"/>
      </w:r>
    </w:p>
    <w:p>
      <w:pPr>
        <w:spacing w:after="60" w:before="60"/>
        <w:jc w:val="left"/>
      </w:pPr>
      <w:r>
        <w:rPr>
          <w:rFonts w:ascii="Arial" w:cs="Arial" w:eastAsia="Arial" w:hAnsi="Arial"/>
          <w:b/>
          <w:bCs/>
          <w:color w:val="FF7A18"/>
          <w:sz w:val="22"/>
          <w:szCs w:val="22"/>
        </w:rPr>
        <w:t xml:space="preserve">Closing Move: </w:t>
      </w:r>
      <w:r>
        <w:rPr>
          <w:rFonts w:ascii="Arial" w:cs="Arial" w:eastAsia="Arial" w:hAnsi="Arial"/>
          <w:color w:val="0F172A"/>
          <w:sz w:val="22"/>
          <w:szCs w:val="22"/>
        </w:rPr>
        <w:t xml:space="preserve">Ask for their current quarter deferred revenue number and how long it takes to produce it. Then say:</w:t>
      </w:r>
    </w:p>
    <w:p>
      <w:pPr>
        <w:spacing w:after="60" w:before="60"/>
        <w:jc w:val="left"/>
      </w:pPr>
      <w:r>
        <w:rPr>
          <w:rFonts w:ascii="Arial" w:cs="Arial" w:eastAsia="Arial" w:hAnsi="Arial"/>
          <w:i/>
          <w:iCs/>
          <w:color w:val="475569"/>
          <w:sz w:val="22"/>
          <w:szCs w:val="22"/>
        </w:rPr>
        <w:t xml:space="preserve">"Let me run a quick ROI model with your numbers. I'll need: number of reps, average deal size, current quote cycle time, and comp disputes per quarter. Give me those four numbers and I'll have a payback model back to you by end of week."</w:t>
      </w:r>
    </w:p>
    <w:p>
      <w:pPr>
        <w:spacing w:after="0" w:before="0"/>
      </w:pPr>
      <w:r>
        <w:t xml:space="preserve"/>
      </w:r>
    </w:p>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80"/>
              <w:left w:type="dxa" w:w="240"/>
              <w:bottom w:type="dxa" w:w="180"/>
              <w:right w:type="dxa" w:w="240"/>
            </w:tcMar>
          </w:tcPr>
          <w:p>
            <w:r>
              <w:rPr>
                <w:rFonts w:ascii="Arial" w:cs="Arial" w:eastAsia="Arial" w:hAnsi="Arial"/>
                <w:b/>
                <w:bCs/>
                <w:caps/>
                <w:color w:val="FF7A18"/>
                <w:spacing w:val="40"/>
                <w:sz w:val="18"/>
                <w:szCs w:val="18"/>
              </w:rPr>
              <w:t xml:space="preserve">PERSONA 03</w:t>
            </w:r>
          </w:p>
          <w:p>
            <w:r>
              <w:rPr>
                <w:rFonts w:ascii="Arial" w:cs="Arial" w:eastAsia="Arial" w:hAnsi="Arial"/>
                <w:b/>
                <w:bCs/>
                <w:color w:val="0F172A"/>
                <w:sz w:val="36"/>
                <w:szCs w:val="36"/>
              </w:rPr>
              <w:t xml:space="preserve">🔧  IT Director / CIO</w:t>
            </w:r>
          </w:p>
          <w:p>
            <w:r>
              <w:rPr>
                <w:rFonts w:ascii="Arial" w:cs="Arial" w:eastAsia="Arial" w:hAnsi="Arial"/>
                <w:i/>
                <w:iCs/>
                <w:color w:val="475569"/>
                <w:sz w:val="22"/>
                <w:szCs w:val="22"/>
              </w:rPr>
              <w:t xml:space="preserve">Chief Information Officer · IT Director · Enterprise Architect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F0" w:val="clear"/>
            <w:tcMar>
              <w:top w:type="dxa" w:w="100"/>
              <w:left w:type="dxa" w:w="200"/>
              <w:bottom w:type="dxa" w:w="100"/>
              <w:right w:type="dxa" w:w="200"/>
            </w:tcMar>
          </w:tcPr>
          <w:p>
            <w:r>
              <w:rPr>
                <w:rFonts w:ascii="Arial" w:cs="Arial" w:eastAsia="Arial" w:hAnsi="Arial"/>
                <w:b/>
                <w:bCs/>
                <w:caps/>
                <w:color w:val="FF7A18"/>
                <w:spacing w:val="20"/>
                <w:sz w:val="20"/>
                <w:szCs w:val="20"/>
              </w:rPr>
              <w:t xml:space="preserve">Persona Profile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Role</w:t>
            </w:r>
          </w:p>
        </w:tc>
        <w:tc>
          <w:tcPr>
            <w:tcW w:type="dxa" w:w="64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Chief Information Officer · IT Director · Enterprise Architect</w:t>
            </w:r>
          </w:p>
        </w:tc>
      </w:tr>
      <w:tr>
        <w:tc>
          <w:tcPr>
            <w:tcW w:type="dxa" w:w="2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Primary Pain Points</w:t>
            </w:r>
          </w:p>
        </w:tc>
        <w:tc>
          <w:tcPr>
            <w:tcW w:type="dxa" w:w="64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Integration complexity with existing ERP/middleware · Data security and governance concerns · Fear of long implementation timelines · Shadow IT and duplicate systems · API reliability and uptime</w:t>
            </w:r>
          </w:p>
        </w:tc>
      </w:tr>
      <w:tr>
        <w:tc>
          <w:tcPr>
            <w:tcW w:type="dxa" w:w="2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What They Care About</w:t>
            </w:r>
          </w:p>
        </w:tc>
        <w:tc>
          <w:tcPr>
            <w:tcW w:type="dxa" w:w="64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Architecture simplicity · Security and compliance · Integration patterns · System performance · Vendor support and roadmap</w:t>
            </w:r>
          </w:p>
        </w:tc>
      </w:tr>
      <w:tr>
        <w:tc>
          <w:tcPr>
            <w:tcW w:type="dxa" w:w="2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Questions They Ask</w:t>
            </w:r>
          </w:p>
        </w:tc>
        <w:tc>
          <w:tcPr>
            <w:tcW w:type="dxa" w:w="64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"How does this integrate with our ERP?" · "What's the data model?" · "What are the APIs?" · "How long does implementation take?" · "What's uptime SLA?"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00"/>
              <w:left w:type="dxa" w:w="200"/>
              <w:bottom w:type="dxa" w:w="100"/>
              <w:right w:type="dxa" w:w="200"/>
            </w:tcMar>
          </w:tcPr>
          <w:p>
            <w:r>
              <w:rPr>
                <w:rFonts w:ascii="Arial" w:cs="Arial" w:eastAsia="Arial" w:hAnsi="Arial"/>
                <w:b/>
                <w:bCs/>
                <w:caps/>
                <w:color w:val="1D4ED8"/>
                <w:spacing w:val="20"/>
                <w:sz w:val="20"/>
                <w:szCs w:val="20"/>
              </w:rPr>
              <w:t xml:space="preserve">Demo Screen Flow</w:t>
            </w:r>
          </w:p>
        </w:tc>
      </w:tr>
    </w:tbl>
    <w:p>
      <w:pPr>
        <w:spacing w:after="0" w:before="0"/>
      </w:pPr>
      <w:r>
        <w:t xml:space="preserve"/>
      </w:r>
    </w:p>
    <w:p>
      <w:pPr>
        <w:spacing w:after="60" w:before="60"/>
        <w:jc w:val="left"/>
      </w:pPr>
      <w:r>
        <w:rPr>
          <w:rFonts w:ascii="Arial" w:cs="Arial" w:eastAsia="Arial" w:hAnsi="Arial"/>
          <w:b/>
          <w:bCs/>
          <w:i w:val="false"/>
          <w:iCs w:val="false"/>
          <w:color w:val="0F172A"/>
          <w:sz w:val="22"/>
          <w:szCs w:val="22"/>
        </w:rPr>
        <w:t xml:space="preserve">Total demo time: 30–40 minutes  ·  Screens: 5</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2800"/>
        <w:gridCol w:w="2600"/>
      </w:tblGrid>
      <w:tr>
        <w:tc>
          <w:tcPr>
            <w:tcW w:type="dxa" w:w="144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52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2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Key Talking Points</w:t>
            </w:r>
          </w:p>
        </w:tc>
        <w:tc>
          <w:tcPr>
            <w:tcW w:type="dxa" w:w="2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1440"/>
            <w:tcBorders>
              <w:top w:val="single" w:color="E2E8F0" w:sz="1"/>
              <w:left w:val="single" w:color="E2E8F0" w:sz="1"/>
              <w:bottom w:val="single" w:color="E2E8F0" w:sz="1"/>
              <w:right w:val="single" w:color="E2E8F0" w:sz="1"/>
            </w:tcBorders>
            <w:shd w:fill="FFF7F0" w:val="clear"/>
            <w:tcMar>
              <w:top w:type="dxa" w:w="80"/>
              <w:left w:type="dxa" w:w="120"/>
              <w:bottom w:type="dxa" w:w="80"/>
              <w:right w:type="dxa" w:w="120"/>
            </w:tcMar>
          </w:tcPr>
          <w:p>
            <w:r>
              <w:rPr>
                <w:rFonts w:ascii="Arial" w:cs="Arial" w:eastAsia="Arial" w:hAnsi="Arial"/>
                <w:b/>
                <w:bCs/>
                <w:color w:val="FF7A18"/>
                <w:sz w:val="20"/>
                <w:szCs w:val="20"/>
              </w:rPr>
              <w:t xml:space="preserve">1</w:t>
            </w:r>
          </w:p>
        </w:tc>
        <w:tc>
          <w:tcPr>
            <w:tcW w:type="dxa" w:w="25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integration_features.html</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9"/>
                <w:szCs w:val="19"/>
              </w:rPr>
              <w:t xml:space="preserve">Oracle Integration Cloud, pre-built adapters, API gateway, data flows</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10 min</w:t>
            </w:r>
          </w:p>
        </w:tc>
      </w:tr>
      <w:tr>
        <w:tc>
          <w:tcPr>
            <w:tcW w:type="dxa" w:w="1440"/>
            <w:tcBorders>
              <w:top w:val="single" w:color="E2E8F0" w:sz="1"/>
              <w:left w:val="single" w:color="E2E8F0" w:sz="1"/>
              <w:bottom w:val="single" w:color="E2E8F0" w:sz="1"/>
              <w:right w:val="single" w:color="E2E8F0" w:sz="1"/>
            </w:tcBorders>
            <w:shd w:fill="FFF7F0" w:val="clear"/>
            <w:tcMar>
              <w:top w:type="dxa" w:w="80"/>
              <w:left w:type="dxa" w:w="120"/>
              <w:bottom w:type="dxa" w:w="80"/>
              <w:right w:type="dxa" w:w="120"/>
            </w:tcMar>
          </w:tcPr>
          <w:p>
            <w:r>
              <w:rPr>
                <w:rFonts w:ascii="Arial" w:cs="Arial" w:eastAsia="Arial" w:hAnsi="Arial"/>
                <w:b/>
                <w:bCs/>
                <w:color w:val="FF7A18"/>
                <w:sz w:val="20"/>
                <w:szCs w:val="20"/>
              </w:rPr>
              <w:t xml:space="preserve">2</w:t>
            </w:r>
          </w:p>
        </w:tc>
        <w:tc>
          <w:tcPr>
            <w:tcW w:type="dxa" w:w="25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cx_opportunity.html</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9"/>
                <w:szCs w:val="19"/>
              </w:rPr>
              <w:t xml:space="preserve">Account Hierarchy (data model), field configuration, role-based access</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8 min</w:t>
            </w:r>
          </w:p>
        </w:tc>
      </w:tr>
      <w:tr>
        <w:tc>
          <w:tcPr>
            <w:tcW w:type="dxa" w:w="1440"/>
            <w:tcBorders>
              <w:top w:val="single" w:color="E2E8F0" w:sz="1"/>
              <w:left w:val="single" w:color="E2E8F0" w:sz="1"/>
              <w:bottom w:val="single" w:color="E2E8F0" w:sz="1"/>
              <w:right w:val="single" w:color="E2E8F0" w:sz="1"/>
            </w:tcBorders>
            <w:shd w:fill="FFF7F0" w:val="clear"/>
            <w:tcMar>
              <w:top w:type="dxa" w:w="80"/>
              <w:left w:type="dxa" w:w="120"/>
              <w:bottom w:type="dxa" w:w="80"/>
              <w:right w:type="dxa" w:w="120"/>
            </w:tcMar>
          </w:tcPr>
          <w:p>
            <w:r>
              <w:rPr>
                <w:rFonts w:ascii="Arial" w:cs="Arial" w:eastAsia="Arial" w:hAnsi="Arial"/>
                <w:b/>
                <w:bCs/>
                <w:color w:val="FF7A18"/>
                <w:sz w:val="20"/>
                <w:szCs w:val="20"/>
              </w:rPr>
              <w:t xml:space="preserve">3</w:t>
            </w:r>
          </w:p>
        </w:tc>
        <w:tc>
          <w:tcPr>
            <w:tcW w:type="dxa" w:w="25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cpq_quote_builder.html</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9"/>
                <w:szCs w:val="19"/>
              </w:rPr>
              <w:t xml:space="preserve">CPQ-ERP order flow, REST API, approval rules engine</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8 min</w:t>
            </w:r>
          </w:p>
        </w:tc>
      </w:tr>
      <w:tr>
        <w:tc>
          <w:tcPr>
            <w:tcW w:type="dxa" w:w="1440"/>
            <w:tcBorders>
              <w:top w:val="single" w:color="E2E8F0" w:sz="1"/>
              <w:left w:val="single" w:color="E2E8F0" w:sz="1"/>
              <w:bottom w:val="single" w:color="E2E8F0" w:sz="1"/>
              <w:right w:val="single" w:color="E2E8F0" w:sz="1"/>
            </w:tcBorders>
            <w:shd w:fill="FFF7F0" w:val="clear"/>
            <w:tcMar>
              <w:top w:type="dxa" w:w="80"/>
              <w:left w:type="dxa" w:w="120"/>
              <w:bottom w:type="dxa" w:w="80"/>
              <w:right w:type="dxa" w:w="120"/>
            </w:tcMar>
          </w:tcPr>
          <w:p>
            <w:r>
              <w:rPr>
                <w:rFonts w:ascii="Arial" w:cs="Arial" w:eastAsia="Arial" w:hAnsi="Arial"/>
                <w:b/>
                <w:bCs/>
                <w:color w:val="FF7A18"/>
                <w:sz w:val="20"/>
                <w:szCs w:val="20"/>
              </w:rPr>
              <w:t xml:space="preserve">4</w:t>
            </w:r>
          </w:p>
        </w:tc>
        <w:tc>
          <w:tcPr>
            <w:tcW w:type="dxa" w:w="25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subscription_lifecycle.html</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9"/>
                <w:szCs w:val="19"/>
              </w:rPr>
              <w:t xml:space="preserve">Subscription-to-billing-to-ERP integration, RMCS, revenue recognition</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7 min</w:t>
            </w:r>
          </w:p>
        </w:tc>
      </w:tr>
      <w:tr>
        <w:tc>
          <w:tcPr>
            <w:tcW w:type="dxa" w:w="1440"/>
            <w:tcBorders>
              <w:top w:val="single" w:color="E2E8F0" w:sz="1"/>
              <w:left w:val="single" w:color="E2E8F0" w:sz="1"/>
              <w:bottom w:val="single" w:color="E2E8F0" w:sz="1"/>
              <w:right w:val="single" w:color="E2E8F0" w:sz="1"/>
            </w:tcBorders>
            <w:shd w:fill="FFF7F0" w:val="clear"/>
            <w:tcMar>
              <w:top w:type="dxa" w:w="80"/>
              <w:left w:type="dxa" w:w="120"/>
              <w:bottom w:type="dxa" w:w="80"/>
              <w:right w:type="dxa" w:w="120"/>
            </w:tcMar>
          </w:tcPr>
          <w:p>
            <w:r>
              <w:rPr>
                <w:rFonts w:ascii="Arial" w:cs="Arial" w:eastAsia="Arial" w:hAnsi="Arial"/>
                <w:b/>
                <w:bCs/>
                <w:color w:val="FF7A18"/>
                <w:sz w:val="20"/>
                <w:szCs w:val="20"/>
              </w:rPr>
              <w:t xml:space="preserve">5</w:t>
            </w:r>
          </w:p>
        </w:tc>
        <w:tc>
          <w:tcPr>
            <w:tcW w:type="dxa" w:w="25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cx_service_case.html</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9"/>
                <w:szCs w:val="19"/>
              </w:rPr>
              <w:t xml:space="preserve">Case management API, knowledge base integration, SLA engine</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5 min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00"/>
              <w:left w:type="dxa" w:w="200"/>
              <w:bottom w:type="dxa" w:w="100"/>
              <w:right w:type="dxa" w:w="200"/>
            </w:tcMar>
          </w:tcPr>
          <w:p>
            <w:r>
              <w:rPr>
                <w:rFonts w:ascii="Arial" w:cs="Arial" w:eastAsia="Arial" w:hAnsi="Arial"/>
                <w:b/>
                <w:bCs/>
                <w:caps/>
                <w:color w:val="15803D"/>
                <w:spacing w:val="20"/>
                <w:sz w:val="20"/>
                <w:szCs w:val="20"/>
              </w:rPr>
              <w:t xml:space="preserve">Detailed Talking Points</w:t>
            </w:r>
          </w:p>
        </w:tc>
      </w:tr>
    </w:tbl>
    <w:p>
      <w:pPr>
        <w:spacing w:after="0" w:before="0"/>
      </w:pPr>
      <w:r>
        <w:t xml:space="preserve"/>
      </w:r>
    </w:p>
    <w:p>
      <w:pPr>
        <w:pStyle w:val="Heading3"/>
      </w:pPr>
      <w:r>
        <w:t xml:space="preserve">integration_features.html — Integration Architecture</w:t>
      </w:r>
    </w:p>
    <w:p>
      <w:pPr>
        <w:pStyle w:val="ListParagraph"/>
        <w:numPr>
          <w:ilvl w:val="0"/>
          <w:numId w:val="2"/>
        </w:numPr>
        <w:spacing w:after="40" w:before="40"/>
      </w:pPr>
      <w:r>
        <w:rPr>
          <w:rFonts w:ascii="Arial" w:cs="Arial" w:eastAsia="Arial" w:hAnsi="Arial"/>
          <w:b w:val="false"/>
          <w:bCs w:val="false"/>
          <w:color w:val="0F172A"/>
          <w:sz w:val="21"/>
          <w:szCs w:val="21"/>
        </w:rPr>
        <w:t xml:space="preserve">Oracle Integration Cloud (OIC) is the middleware layer: 400+ pre-built adapters, visual designer, monitoring dashboard, and error handling — no custom middleware to build.</w:t>
      </w:r>
    </w:p>
    <w:p>
      <w:pPr>
        <w:pStyle w:val="ListParagraph"/>
        <w:numPr>
          <w:ilvl w:val="0"/>
          <w:numId w:val="2"/>
        </w:numPr>
        <w:spacing w:after="40" w:before="40"/>
      </w:pPr>
      <w:r>
        <w:rPr>
          <w:rFonts w:ascii="Arial" w:cs="Arial" w:eastAsia="Arial" w:hAnsi="Arial"/>
          <w:b w:val="false"/>
          <w:bCs w:val="false"/>
          <w:color w:val="0F172A"/>
          <w:sz w:val="21"/>
          <w:szCs w:val="21"/>
        </w:rPr>
        <w:t xml:space="preserve">REST APIs are available for every Oracle CX object: leads, opportunities, quotes, orders, cases — full CRUD, event-driven webhooks, and bulk data APIs.</w:t>
      </w:r>
    </w:p>
    <w:p>
      <w:pPr>
        <w:pStyle w:val="ListParagraph"/>
        <w:numPr>
          <w:ilvl w:val="0"/>
          <w:numId w:val="2"/>
        </w:numPr>
        <w:spacing w:after="40" w:before="40"/>
      </w:pPr>
      <w:r>
        <w:rPr>
          <w:rFonts w:ascii="Arial" w:cs="Arial" w:eastAsia="Arial" w:hAnsi="Arial"/>
          <w:b w:val="false"/>
          <w:bCs w:val="false"/>
          <w:color w:val="0F172A"/>
          <w:sz w:val="21"/>
          <w:szCs w:val="21"/>
        </w:rPr>
        <w:t xml:space="preserve">Standard integration patterns Argano delivers: CRM↔ERP (accounts, orders), CPQ↔ERP (pricing, inventory), ICM↔Payroll, Eloqua↔Sales Cloud (lead handoff).</w:t>
      </w:r>
    </w:p>
    <w:p>
      <w:pPr>
        <w:pStyle w:val="ListParagraph"/>
        <w:numPr>
          <w:ilvl w:val="0"/>
          <w:numId w:val="2"/>
        </w:numPr>
        <w:spacing w:after="40" w:before="40"/>
      </w:pPr>
      <w:r>
        <w:rPr>
          <w:rFonts w:ascii="Arial" w:cs="Arial" w:eastAsia="Arial" w:hAnsi="Arial"/>
          <w:b w:val="false"/>
          <w:bCs w:val="false"/>
          <w:color w:val="0F172A"/>
          <w:sz w:val="21"/>
          <w:szCs w:val="21"/>
        </w:rPr>
        <w:t xml:space="preserve">Oracle handles security at the platform level: OAuth 2.0, field-level encryption, role-based access control, audit logging — all configurable, all compliant.</w:t>
      </w:r>
    </w:p>
    <w:p>
      <w:pPr>
        <w:spacing w:after="0" w:before="0"/>
      </w:pPr>
      <w:r>
        <w:t xml:space="preserve"/>
      </w:r>
    </w:p>
    <w:p>
      <w:pPr>
        <w:pStyle w:val="Heading3"/>
      </w:pPr>
      <w:r>
        <w:t xml:space="preserve">cx_opportunity.html — Data Model</w:t>
      </w:r>
    </w:p>
    <w:p>
      <w:pPr>
        <w:pStyle w:val="ListParagraph"/>
        <w:numPr>
          <w:ilvl w:val="0"/>
          <w:numId w:val="2"/>
        </w:numPr>
        <w:spacing w:after="40" w:before="40"/>
      </w:pPr>
      <w:r>
        <w:rPr>
          <w:rFonts w:ascii="Arial" w:cs="Arial" w:eastAsia="Arial" w:hAnsi="Arial"/>
          <w:b w:val="false"/>
          <w:bCs w:val="false"/>
          <w:color w:val="0F172A"/>
          <w:sz w:val="21"/>
          <w:szCs w:val="21"/>
        </w:rPr>
        <w:t xml:space="preserve">Oracle CX data model: Account → Contact → Lead → Opportunity → Quote → Order → Subscription — a clean, relational hierarchy. No data silos.</w:t>
      </w:r>
    </w:p>
    <w:p>
      <w:pPr>
        <w:pStyle w:val="ListParagraph"/>
        <w:numPr>
          <w:ilvl w:val="0"/>
          <w:numId w:val="2"/>
        </w:numPr>
        <w:spacing w:after="40" w:before="40"/>
      </w:pPr>
      <w:r>
        <w:rPr>
          <w:rFonts w:ascii="Arial" w:cs="Arial" w:eastAsia="Arial" w:hAnsi="Arial"/>
          <w:b w:val="false"/>
          <w:bCs w:val="false"/>
          <w:color w:val="0F172A"/>
          <w:sz w:val="21"/>
          <w:szCs w:val="21"/>
        </w:rPr>
        <w:t xml:space="preserve">Account Hierarchy supports parent-child relationships to match your enterprise org structure — HQ, divisions, subsidiaries, facilities all linked.</w:t>
      </w:r>
    </w:p>
    <w:p>
      <w:pPr>
        <w:pStyle w:val="ListParagraph"/>
        <w:numPr>
          <w:ilvl w:val="0"/>
          <w:numId w:val="2"/>
        </w:numPr>
        <w:spacing w:after="40" w:before="40"/>
      </w:pPr>
      <w:r>
        <w:rPr>
          <w:rFonts w:ascii="Arial" w:cs="Arial" w:eastAsia="Arial" w:hAnsi="Arial"/>
          <w:b w:val="false"/>
          <w:bCs w:val="false"/>
          <w:color w:val="0F172A"/>
          <w:sz w:val="21"/>
          <w:szCs w:val="21"/>
        </w:rPr>
        <w:t xml:space="preserve">Every field is configurable: add custom fields, rename labels, hide/show by role. No schema changes required — metadata-driven extensibility.</w:t>
      </w:r>
    </w:p>
    <w:p>
      <w:pPr>
        <w:pStyle w:val="ListParagraph"/>
        <w:numPr>
          <w:ilvl w:val="0"/>
          <w:numId w:val="2"/>
        </w:numPr>
        <w:spacing w:after="40" w:before="40"/>
      </w:pPr>
      <w:r>
        <w:rPr>
          <w:rFonts w:ascii="Arial" w:cs="Arial" w:eastAsia="Arial" w:hAnsi="Arial"/>
          <w:b w:val="false"/>
          <w:bCs w:val="false"/>
          <w:color w:val="0F172A"/>
          <w:sz w:val="21"/>
          <w:szCs w:val="21"/>
        </w:rPr>
        <w:t xml:space="preserve">Role-based access control is granular: field level, record level, territory level. A service agent sees service fields; a sales rep sees sales fields. All configurable.</w:t>
      </w:r>
    </w:p>
    <w:p>
      <w:pPr>
        <w:spacing w:after="0" w:before="0"/>
      </w:pPr>
      <w:r>
        <w:t xml:space="preserve"/>
      </w:r>
    </w:p>
    <w:p>
      <w:pPr>
        <w:pStyle w:val="Heading3"/>
      </w:pPr>
      <w:r>
        <w:t xml:space="preserve">cpq_quote_builder.html — CPQ-ERP Integration</w:t>
      </w:r>
    </w:p>
    <w:p>
      <w:pPr>
        <w:pStyle w:val="ListParagraph"/>
        <w:numPr>
          <w:ilvl w:val="0"/>
          <w:numId w:val="2"/>
        </w:numPr>
        <w:spacing w:after="40" w:before="40"/>
      </w:pPr>
      <w:r>
        <w:rPr>
          <w:rFonts w:ascii="Arial" w:cs="Arial" w:eastAsia="Arial" w:hAnsi="Arial"/>
          <w:b w:val="false"/>
          <w:bCs w:val="false"/>
          <w:color w:val="0F172A"/>
          <w:sz w:val="21"/>
          <w:szCs w:val="21"/>
        </w:rPr>
        <w:t xml:space="preserve">When a quote is approved and signed, Oracle CPQ triggers an order creation event — OIC picks it up and posts to Oracle Fusion Order Management (or SAP/NetSuite via adapter) within seconds.</w:t>
      </w:r>
    </w:p>
    <w:p>
      <w:pPr>
        <w:pStyle w:val="ListParagraph"/>
        <w:numPr>
          <w:ilvl w:val="0"/>
          <w:numId w:val="2"/>
        </w:numPr>
        <w:spacing w:after="40" w:before="40"/>
      </w:pPr>
      <w:r>
        <w:rPr>
          <w:rFonts w:ascii="Arial" w:cs="Arial" w:eastAsia="Arial" w:hAnsi="Arial"/>
          <w:b w:val="false"/>
          <w:bCs w:val="false"/>
          <w:color w:val="0F172A"/>
          <w:sz w:val="21"/>
          <w:szCs w:val="21"/>
        </w:rPr>
        <w:t xml:space="preserve">CPQ product catalog is the single source of pricing truth: changes in CPQ propagate to all quotes, order templates, and integration feeds automatically.</w:t>
      </w:r>
    </w:p>
    <w:p>
      <w:pPr>
        <w:pStyle w:val="ListParagraph"/>
        <w:numPr>
          <w:ilvl w:val="0"/>
          <w:numId w:val="2"/>
        </w:numPr>
        <w:spacing w:after="40" w:before="40"/>
      </w:pPr>
      <w:r>
        <w:rPr>
          <w:rFonts w:ascii="Arial" w:cs="Arial" w:eastAsia="Arial" w:hAnsi="Arial"/>
          <w:b w:val="false"/>
          <w:bCs w:val="false"/>
          <w:color w:val="0F172A"/>
          <w:sz w:val="21"/>
          <w:szCs w:val="21"/>
        </w:rPr>
        <w:t xml:space="preserve">The approval rules engine is code-free: business rules configured in a decision table UI, not hardcoded scripts — sales ops owns it, not IT.</w:t>
      </w:r>
    </w:p>
    <w:p>
      <w:pPr>
        <w:spacing w:after="0" w:before="0"/>
      </w:pPr>
      <w:r>
        <w:t xml:space="preserve"/>
      </w:r>
    </w:p>
    <w:p>
      <w:pPr>
        <w:pStyle w:val="Heading3"/>
      </w:pPr>
      <w:r>
        <w:t xml:space="preserve">subscription_lifecycle.html — Subscription Stack</w:t>
      </w:r>
    </w:p>
    <w:p>
      <w:pPr>
        <w:pStyle w:val="ListParagraph"/>
        <w:numPr>
          <w:ilvl w:val="0"/>
          <w:numId w:val="2"/>
        </w:numPr>
        <w:spacing w:after="40" w:before="40"/>
      </w:pPr>
      <w:r>
        <w:rPr>
          <w:rFonts w:ascii="Arial" w:cs="Arial" w:eastAsia="Arial" w:hAnsi="Arial"/>
          <w:b w:val="false"/>
          <w:bCs w:val="false"/>
          <w:color w:val="0F172A"/>
          <w:sz w:val="21"/>
          <w:szCs w:val="21"/>
        </w:rPr>
        <w:t xml:space="preserve">Subscription Cloud → RMCS → Oracle Fusion Receivables is a native stack: no integration required for billing, recognition, and AR — the data flows in real time.</w:t>
      </w:r>
    </w:p>
    <w:p>
      <w:pPr>
        <w:pStyle w:val="ListParagraph"/>
        <w:numPr>
          <w:ilvl w:val="0"/>
          <w:numId w:val="2"/>
        </w:numPr>
        <w:spacing w:after="40" w:before="40"/>
      </w:pPr>
      <w:r>
        <w:rPr>
          <w:rFonts w:ascii="Arial" w:cs="Arial" w:eastAsia="Arial" w:hAnsi="Arial"/>
          <w:b w:val="false"/>
          <w:bCs w:val="false"/>
          <w:color w:val="0F172A"/>
          <w:sz w:val="21"/>
          <w:szCs w:val="21"/>
        </w:rPr>
        <w:t xml:space="preserve">Amendment events (upgrade, downgrade, add-on) trigger automated proration calculations and invoice adjustments — all through the API.</w:t>
      </w:r>
    </w:p>
    <w:p>
      <w:pPr>
        <w:pStyle w:val="ListParagraph"/>
        <w:numPr>
          <w:ilvl w:val="0"/>
          <w:numId w:val="2"/>
        </w:numPr>
        <w:spacing w:after="40" w:before="40"/>
      </w:pPr>
      <w:r>
        <w:rPr>
          <w:rFonts w:ascii="Arial" w:cs="Arial" w:eastAsia="Arial" w:hAnsi="Arial"/>
          <w:b w:val="false"/>
          <w:bCs w:val="false"/>
          <w:color w:val="0F172A"/>
          <w:sz w:val="21"/>
          <w:szCs w:val="21"/>
        </w:rPr>
        <w:t xml:space="preserve">Usage-based billing is supported: Oracle Subscription Cloud can meter API calls, seats activated, or data consumed and bill accordingly — critical for SaaS or utility clients.</w:t>
      </w:r>
    </w:p>
    <w:p>
      <w:pPr>
        <w:spacing w:after="0" w:before="0"/>
      </w:pPr>
      <w:r>
        <w:t xml:space="preserve"/>
      </w:r>
    </w:p>
    <w:p>
      <w:pPr>
        <w:pStyle w:val="Heading3"/>
      </w:pPr>
      <w:r>
        <w:t xml:space="preserve">cx_service_case.html — Service Case APIs</w:t>
      </w:r>
    </w:p>
    <w:p>
      <w:pPr>
        <w:pStyle w:val="ListParagraph"/>
        <w:numPr>
          <w:ilvl w:val="0"/>
          <w:numId w:val="2"/>
        </w:numPr>
        <w:spacing w:after="40" w:before="40"/>
      </w:pPr>
      <w:r>
        <w:rPr>
          <w:rFonts w:ascii="Arial" w:cs="Arial" w:eastAsia="Arial" w:hAnsi="Arial"/>
          <w:b w:val="false"/>
          <w:bCs w:val="false"/>
          <w:color w:val="0F172A"/>
          <w:sz w:val="21"/>
          <w:szCs w:val="21"/>
        </w:rPr>
        <w:t xml:space="preserve">Service Cloud is API-first: case creation, routing rules, SLA calculation, and knowledge search are all REST-accessible — integrate with your existing service portal or IVR if needed.</w:t>
      </w:r>
    </w:p>
    <w:p>
      <w:pPr>
        <w:pStyle w:val="ListParagraph"/>
        <w:numPr>
          <w:ilvl w:val="0"/>
          <w:numId w:val="2"/>
        </w:numPr>
        <w:spacing w:after="40" w:before="40"/>
      </w:pPr>
      <w:r>
        <w:rPr>
          <w:rFonts w:ascii="Arial" w:cs="Arial" w:eastAsia="Arial" w:hAnsi="Arial"/>
          <w:b w:val="false"/>
          <w:bCs w:val="false"/>
          <w:color w:val="0F172A"/>
          <w:sz w:val="21"/>
          <w:szCs w:val="21"/>
        </w:rPr>
        <w:t xml:space="preserve">SLA engine is rules-based: define severity tiers, response targets, and escalation paths in configuration — no code.</w:t>
      </w:r>
    </w:p>
    <w:p>
      <w:pPr>
        <w:pStyle w:val="ListParagraph"/>
        <w:numPr>
          <w:ilvl w:val="0"/>
          <w:numId w:val="2"/>
        </w:numPr>
        <w:spacing w:after="40" w:before="40"/>
      </w:pPr>
      <w:r>
        <w:rPr>
          <w:rFonts w:ascii="Arial" w:cs="Arial" w:eastAsia="Arial" w:hAnsi="Arial"/>
          <w:b w:val="false"/>
          <w:bCs w:val="false"/>
          <w:color w:val="0F172A"/>
          <w:sz w:val="21"/>
          <w:szCs w:val="21"/>
        </w:rPr>
        <w:t xml:space="preserve">Knowledge base supports federated search: surface Oracle articles alongside your own internal docs via a unified search API.</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8FF" w:val="clear"/>
            <w:tcMar>
              <w:top w:type="dxa" w:w="100"/>
              <w:left w:type="dxa" w:w="200"/>
              <w:bottom w:type="dxa" w:w="100"/>
              <w:right w:type="dxa" w:w="200"/>
            </w:tcMar>
          </w:tcPr>
          <w:p>
            <w:r>
              <w:rPr>
                <w:rFonts w:ascii="Arial" w:cs="Arial" w:eastAsia="Arial" w:hAnsi="Arial"/>
                <w:b/>
                <w:bCs/>
                <w:caps/>
                <w:color w:val="7C3AED"/>
                <w:spacing w:val="20"/>
                <w:sz w:val="20"/>
                <w:szCs w:val="20"/>
              </w:rPr>
              <w:t xml:space="preserve">Discovery Questions to Ask</w:t>
            </w:r>
          </w:p>
        </w:tc>
      </w:tr>
    </w:tbl>
    <w:p>
      <w:pPr>
        <w:spacing w:after="0" w:before="0"/>
      </w:pPr>
      <w:r>
        <w:t xml:space="preserve"/>
      </w:r>
    </w:p>
    <w:p>
      <w:pPr>
        <w:pStyle w:val="ListParagraph"/>
        <w:numPr>
          <w:ilvl w:val="0"/>
          <w:numId w:val="3"/>
        </w:numPr>
        <w:spacing w:after="40" w:before="40"/>
      </w:pPr>
      <w:r>
        <w:rPr>
          <w:rFonts w:ascii="Arial" w:cs="Arial" w:eastAsia="Arial" w:hAnsi="Arial"/>
          <w:b w:val="false"/>
          <w:bCs w:val="false"/>
          <w:color w:val="0F172A"/>
          <w:sz w:val="21"/>
          <w:szCs w:val="21"/>
        </w:rPr>
        <w:t xml:space="preserve">What ERP system are you running today, and what version? Is it Oracle Fusion, SAP, NetSuite, or something else?</w:t>
      </w:r>
    </w:p>
    <w:p>
      <w:pPr>
        <w:pStyle w:val="ListParagraph"/>
        <w:numPr>
          <w:ilvl w:val="0"/>
          <w:numId w:val="3"/>
        </w:numPr>
        <w:spacing w:after="40" w:before="40"/>
      </w:pPr>
      <w:r>
        <w:rPr>
          <w:rFonts w:ascii="Arial" w:cs="Arial" w:eastAsia="Arial" w:hAnsi="Arial"/>
          <w:b w:val="false"/>
          <w:bCs w:val="false"/>
          <w:color w:val="0F172A"/>
          <w:sz w:val="21"/>
          <w:szCs w:val="21"/>
        </w:rPr>
        <w:t xml:space="preserve">How many integration points does your current CRM have — and how are they maintained today (custom code, middleware, point-to-point)?</w:t>
      </w:r>
    </w:p>
    <w:p>
      <w:pPr>
        <w:pStyle w:val="ListParagraph"/>
        <w:numPr>
          <w:ilvl w:val="0"/>
          <w:numId w:val="3"/>
        </w:numPr>
        <w:spacing w:after="40" w:before="40"/>
      </w:pPr>
      <w:r>
        <w:rPr>
          <w:rFonts w:ascii="Arial" w:cs="Arial" w:eastAsia="Arial" w:hAnsi="Arial"/>
          <w:b w:val="false"/>
          <w:bCs w:val="false"/>
          <w:color w:val="0F172A"/>
          <w:sz w:val="21"/>
          <w:szCs w:val="21"/>
        </w:rPr>
        <w:t xml:space="preserve">What's your current data residency requirement? US-only, EU, specific region?</w:t>
      </w:r>
    </w:p>
    <w:p>
      <w:pPr>
        <w:pStyle w:val="ListParagraph"/>
        <w:numPr>
          <w:ilvl w:val="0"/>
          <w:numId w:val="3"/>
        </w:numPr>
        <w:spacing w:after="40" w:before="40"/>
      </w:pPr>
      <w:r>
        <w:rPr>
          <w:rFonts w:ascii="Arial" w:cs="Arial" w:eastAsia="Arial" w:hAnsi="Arial"/>
          <w:b w:val="false"/>
          <w:bCs w:val="false"/>
          <w:color w:val="0F172A"/>
          <w:sz w:val="21"/>
          <w:szCs w:val="21"/>
        </w:rPr>
        <w:t xml:space="preserve">How do you handle CRM downtime today — what's the business impact of a 1-hour outage during a sales day?</w:t>
      </w:r>
    </w:p>
    <w:p>
      <w:pPr>
        <w:pStyle w:val="ListParagraph"/>
        <w:numPr>
          <w:ilvl w:val="0"/>
          <w:numId w:val="3"/>
        </w:numPr>
        <w:spacing w:after="40" w:before="40"/>
      </w:pPr>
      <w:r>
        <w:rPr>
          <w:rFonts w:ascii="Arial" w:cs="Arial" w:eastAsia="Arial" w:hAnsi="Arial"/>
          <w:b w:val="false"/>
          <w:bCs w:val="false"/>
          <w:color w:val="0F172A"/>
          <w:sz w:val="21"/>
          <w:szCs w:val="21"/>
        </w:rPr>
        <w:t xml:space="preserve">What's your biggest concern about a CRM implementation — timeline, data migration, user adoption, or integration complexity?</w:t>
      </w:r>
    </w:p>
    <w:p>
      <w:pPr>
        <w:pStyle w:val="ListParagraph"/>
        <w:numPr>
          <w:ilvl w:val="0"/>
          <w:numId w:val="3"/>
        </w:numPr>
        <w:spacing w:after="40" w:before="40"/>
      </w:pPr>
      <w:r>
        <w:rPr>
          <w:rFonts w:ascii="Arial" w:cs="Arial" w:eastAsia="Arial" w:hAnsi="Arial"/>
          <w:b w:val="false"/>
          <w:bCs w:val="false"/>
          <w:color w:val="0F172A"/>
          <w:sz w:val="21"/>
          <w:szCs w:val="21"/>
        </w:rPr>
        <w:t xml:space="preserve">Do you have an integration middleware layer today (MuleSoft, Dell Boomi, Tibco)? Would you want to keep it or standardize on OIC?</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00"/>
              <w:left w:type="dxa" w:w="200"/>
              <w:bottom w:type="dxa" w:w="100"/>
              <w:right w:type="dxa" w:w="200"/>
            </w:tcMar>
          </w:tcPr>
          <w:p>
            <w:r>
              <w:rPr>
                <w:rFonts w:ascii="Arial" w:cs="Arial" w:eastAsia="Arial" w:hAnsi="Arial"/>
                <w:b/>
                <w:bCs/>
                <w:caps/>
                <w:color w:val="DC2626"/>
                <w:spacing w:val="20"/>
                <w:sz w:val="20"/>
                <w:szCs w:val="20"/>
              </w:rPr>
              <w:t xml:space="preserve">Common Objections &amp; Responses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r>
              <w:rPr>
                <w:rFonts w:ascii="Arial" w:cs="Arial" w:eastAsia="Arial" w:hAnsi="Arial"/>
                <w:b/>
                <w:bCs/>
                <w:color w:val="DC2626"/>
                <w:sz w:val="20"/>
                <w:szCs w:val="20"/>
              </w:rPr>
              <w:t xml:space="preserve">Objection</w:t>
            </w:r>
          </w:p>
        </w:tc>
        <w:tc>
          <w:tcPr>
            <w:tcW w:type="dxa" w:w="536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r>
              <w:rPr>
                <w:rFonts w:ascii="Arial" w:cs="Arial" w:eastAsia="Arial" w:hAnsi="Arial"/>
                <w:b/>
                <w:bCs/>
                <w:color w:val="DC2626"/>
                <w:sz w:val="20"/>
                <w:szCs w:val="20"/>
              </w:rPr>
              <w:t xml:space="preserve">Response</w:t>
            </w:r>
          </w:p>
        </w:tc>
      </w:tr>
      <w:tr>
        <w:tc>
          <w:tcPr>
            <w:tcW w:type="dxa" w:w="40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tcPr>
          <w:p>
            <w:r>
              <w:rPr>
                <w:rFonts w:ascii="Arial" w:cs="Arial" w:eastAsia="Arial" w:hAnsi="Arial"/>
                <w:i/>
                <w:iCs/>
                <w:color w:val="0F172A"/>
                <w:sz w:val="20"/>
                <w:szCs w:val="20"/>
              </w:rPr>
              <w:t xml:space="preserve">We're worried about implementation timeline.</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Oracle Sales Cloud has a standard go-live of 12–16 weeks for a core deployment with Argano's accelerators. We've delivered sub-12-week go-lives with our pre-built configuration playbooks. Timeline risk is managed with a phased approach: Sales Cloud first, CPQ second, ICM third.</w:t>
            </w:r>
          </w:p>
        </w:tc>
      </w:tr>
      <w:tr>
        <w:tc>
          <w:tcPr>
            <w:tcW w:type="dxa" w:w="40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tcPr>
          <w:p>
            <w:r>
              <w:rPr>
                <w:rFonts w:ascii="Arial" w:cs="Arial" w:eastAsia="Arial" w:hAnsi="Arial"/>
                <w:i/>
                <w:iCs/>
                <w:color w:val="0F172A"/>
                <w:sz w:val="20"/>
                <w:szCs w:val="20"/>
              </w:rPr>
              <w:t xml:space="preserve">We have a lot of custom integrations to rebuild.</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Argano starts with an integration discovery workshop — we map every current integration, classify by criticality, and build a migration sequence. OIC pre-built adapters handle 80% of standard patterns on day one.</w:t>
            </w:r>
          </w:p>
        </w:tc>
      </w:tr>
      <w:tr>
        <w:tc>
          <w:tcPr>
            <w:tcW w:type="dxa" w:w="40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tcPr>
          <w:p>
            <w:r>
              <w:rPr>
                <w:rFonts w:ascii="Arial" w:cs="Arial" w:eastAsia="Arial" w:hAnsi="Arial"/>
                <w:i/>
                <w:iCs/>
                <w:color w:val="0F172A"/>
                <w:sz w:val="20"/>
                <w:szCs w:val="20"/>
              </w:rPr>
              <w:t xml:space="preserve">What's Oracle's uptime SLA?</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Oracle Cloud Infrastructure guarantees 99.95% uptime SLA with financial penalties. Oracle CX SaaS runs on OCI with multi-region redundancy. We can share the full SLA document — this is a non-issue for current Oracle Cloud customers.</w:t>
            </w:r>
          </w:p>
        </w:tc>
      </w:tr>
      <w:tr>
        <w:tc>
          <w:tcPr>
            <w:tcW w:type="dxa" w:w="40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tcPr>
          <w:p>
            <w:r>
              <w:rPr>
                <w:rFonts w:ascii="Arial" w:cs="Arial" w:eastAsia="Arial" w:hAnsi="Arial"/>
                <w:i/>
                <w:iCs/>
                <w:color w:val="0F172A"/>
                <w:sz w:val="20"/>
                <w:szCs w:val="20"/>
              </w:rPr>
              <w:t xml:space="preserve">We're concerned about data migration.</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Argano has a structured data migration methodology: extract → cleanse → transform → validate → load — with full rollback capability. We've migrated data from Salesforce, MS Dynamics, SAP CRM, and legacy on-prem systems. We can show you a migration playbook from a comparable project.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C3" w:val="clear"/>
            <w:tcMar>
              <w:top w:type="dxa" w:w="100"/>
              <w:left w:type="dxa" w:w="200"/>
              <w:bottom w:type="dxa" w:w="100"/>
              <w:right w:type="dxa" w:w="200"/>
            </w:tcMar>
          </w:tcPr>
          <w:p>
            <w:r>
              <w:rPr>
                <w:rFonts w:ascii="Arial" w:cs="Arial" w:eastAsia="Arial" w:hAnsi="Arial"/>
                <w:b/>
                <w:bCs/>
                <w:caps/>
                <w:color w:val="92400E"/>
                <w:spacing w:val="20"/>
                <w:sz w:val="20"/>
                <w:szCs w:val="20"/>
              </w:rPr>
              <w:t xml:space="preserve">Closing Move &amp; Call to Action</w:t>
            </w:r>
          </w:p>
        </w:tc>
      </w:tr>
    </w:tbl>
    <w:p>
      <w:pPr>
        <w:spacing w:after="0" w:before="0"/>
      </w:pPr>
      <w:r>
        <w:t xml:space="preserve"/>
      </w:r>
    </w:p>
    <w:p>
      <w:pPr>
        <w:spacing w:after="60" w:before="60"/>
        <w:jc w:val="left"/>
      </w:pPr>
      <w:r>
        <w:rPr>
          <w:rFonts w:ascii="Arial" w:cs="Arial" w:eastAsia="Arial" w:hAnsi="Arial"/>
          <w:b/>
          <w:bCs/>
          <w:color w:val="FF7A18"/>
          <w:sz w:val="22"/>
          <w:szCs w:val="22"/>
        </w:rPr>
        <w:t xml:space="preserve">Closing Move: </w:t>
      </w:r>
      <w:r>
        <w:rPr>
          <w:rFonts w:ascii="Arial" w:cs="Arial" w:eastAsia="Arial" w:hAnsi="Arial"/>
          <w:color w:val="0F172A"/>
          <w:sz w:val="22"/>
          <w:szCs w:val="22"/>
        </w:rPr>
        <w:t xml:space="preserve">Ask for a 2-hour integration discovery session with their lead architect. Say:</w:t>
      </w:r>
    </w:p>
    <w:p>
      <w:pPr>
        <w:spacing w:after="60" w:before="60"/>
        <w:jc w:val="left"/>
      </w:pPr>
      <w:r>
        <w:rPr>
          <w:rFonts w:ascii="Arial" w:cs="Arial" w:eastAsia="Arial" w:hAnsi="Arial"/>
          <w:i/>
          <w:iCs/>
          <w:color w:val="475569"/>
          <w:sz w:val="22"/>
          <w:szCs w:val="22"/>
        </w:rPr>
        <w:t xml:space="preserve">"I'd like to bring our integration architect to sit with your team for 2 hours — no selling, just mapping your current integration landscape against Oracle OIC capabilities. At the end, you'll have a preliminary integration design and an honest assessment of complexity and timeline. Can we schedule that?"</w:t>
      </w:r>
    </w:p>
    <w:p>
      <w:pPr>
        <w:spacing w:after="0" w:before="0"/>
      </w:pPr>
      <w:r>
        <w:t xml:space="preserve"/>
      </w:r>
    </w:p>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80"/>
              <w:left w:type="dxa" w:w="240"/>
              <w:bottom w:type="dxa" w:w="180"/>
              <w:right w:type="dxa" w:w="240"/>
            </w:tcMar>
          </w:tcPr>
          <w:p>
            <w:r>
              <w:rPr>
                <w:rFonts w:ascii="Arial" w:cs="Arial" w:eastAsia="Arial" w:hAnsi="Arial"/>
                <w:b/>
                <w:bCs/>
                <w:caps/>
                <w:color w:val="FF7A18"/>
                <w:spacing w:val="40"/>
                <w:sz w:val="18"/>
                <w:szCs w:val="18"/>
              </w:rPr>
              <w:t xml:space="preserve">PERSONA 04</w:t>
            </w:r>
          </w:p>
          <w:p>
            <w:r>
              <w:rPr>
                <w:rFonts w:ascii="Arial" w:cs="Arial" w:eastAsia="Arial" w:hAnsi="Arial"/>
                <w:b/>
                <w:bCs/>
                <w:color w:val="0F172A"/>
                <w:sz w:val="36"/>
                <w:szCs w:val="36"/>
              </w:rPr>
              <w:t xml:space="preserve">⚙️  Sales Operations Manager</w:t>
            </w:r>
          </w:p>
          <w:p>
            <w:r>
              <w:rPr>
                <w:rFonts w:ascii="Arial" w:cs="Arial" w:eastAsia="Arial" w:hAnsi="Arial"/>
                <w:i/>
                <w:iCs/>
                <w:color w:val="475569"/>
                <w:sz w:val="22"/>
                <w:szCs w:val="22"/>
              </w:rPr>
              <w:t xml:space="preserve">Director of Sales Operations · VP Revenue Operations · Sales Ops Lead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F0" w:val="clear"/>
            <w:tcMar>
              <w:top w:type="dxa" w:w="100"/>
              <w:left w:type="dxa" w:w="200"/>
              <w:bottom w:type="dxa" w:w="100"/>
              <w:right w:type="dxa" w:w="200"/>
            </w:tcMar>
          </w:tcPr>
          <w:p>
            <w:r>
              <w:rPr>
                <w:rFonts w:ascii="Arial" w:cs="Arial" w:eastAsia="Arial" w:hAnsi="Arial"/>
                <w:b/>
                <w:bCs/>
                <w:caps/>
                <w:color w:val="FF7A18"/>
                <w:spacing w:val="20"/>
                <w:sz w:val="20"/>
                <w:szCs w:val="20"/>
              </w:rPr>
              <w:t xml:space="preserve">Persona Profile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Role</w:t>
            </w:r>
          </w:p>
        </w:tc>
        <w:tc>
          <w:tcPr>
            <w:tcW w:type="dxa" w:w="64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Director of Sales Operations · VP Revenue Operations · Sales Ops Lead</w:t>
            </w:r>
          </w:p>
        </w:tc>
      </w:tr>
      <w:tr>
        <w:tc>
          <w:tcPr>
            <w:tcW w:type="dxa" w:w="2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Primary Pain Points</w:t>
            </w:r>
          </w:p>
        </w:tc>
        <w:tc>
          <w:tcPr>
            <w:tcW w:type="dxa" w:w="64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Manual territory and quota changes · CRM data quality is poor · Comp disputes eating team's time · Reports take hours to build · No single source of truth for pipeline</w:t>
            </w:r>
          </w:p>
        </w:tc>
      </w:tr>
      <w:tr>
        <w:tc>
          <w:tcPr>
            <w:tcW w:type="dxa" w:w="2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What They Care About</w:t>
            </w:r>
          </w:p>
        </w:tc>
        <w:tc>
          <w:tcPr>
            <w:tcW w:type="dxa" w:w="64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Process automation · Data accuracy · Territory/quota management · Reporting speed · Comp calculation reliability</w:t>
            </w:r>
          </w:p>
        </w:tc>
      </w:tr>
      <w:tr>
        <w:tc>
          <w:tcPr>
            <w:tcW w:type="dxa" w:w="2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Questions They Ask</w:t>
            </w:r>
          </w:p>
        </w:tc>
        <w:tc>
          <w:tcPr>
            <w:tcW w:type="dxa" w:w="64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"How do we manage territory changes mid-year?" · "How does quota roll up?" · "Can we automate comp calculations?" · "What reports are out of the box?"</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00"/>
              <w:left w:type="dxa" w:w="200"/>
              <w:bottom w:type="dxa" w:w="100"/>
              <w:right w:type="dxa" w:w="200"/>
            </w:tcMar>
          </w:tcPr>
          <w:p>
            <w:r>
              <w:rPr>
                <w:rFonts w:ascii="Arial" w:cs="Arial" w:eastAsia="Arial" w:hAnsi="Arial"/>
                <w:b/>
                <w:bCs/>
                <w:caps/>
                <w:color w:val="1D4ED8"/>
                <w:spacing w:val="20"/>
                <w:sz w:val="20"/>
                <w:szCs w:val="20"/>
              </w:rPr>
              <w:t xml:space="preserve">Demo Screen Flow</w:t>
            </w:r>
          </w:p>
        </w:tc>
      </w:tr>
    </w:tbl>
    <w:p>
      <w:pPr>
        <w:spacing w:after="0" w:before="0"/>
      </w:pPr>
      <w:r>
        <w:t xml:space="preserve"/>
      </w:r>
    </w:p>
    <w:p>
      <w:pPr>
        <w:spacing w:after="60" w:before="60"/>
        <w:jc w:val="left"/>
      </w:pPr>
      <w:r>
        <w:rPr>
          <w:rFonts w:ascii="Arial" w:cs="Arial" w:eastAsia="Arial" w:hAnsi="Arial"/>
          <w:b/>
          <w:bCs/>
          <w:i w:val="false"/>
          <w:iCs w:val="false"/>
          <w:color w:val="0F172A"/>
          <w:sz w:val="22"/>
          <w:szCs w:val="22"/>
        </w:rPr>
        <w:t xml:space="preserve">Total demo time: 25–30 minutes  ·  Screens: 4</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2800"/>
        <w:gridCol w:w="2600"/>
      </w:tblGrid>
      <w:tr>
        <w:tc>
          <w:tcPr>
            <w:tcW w:type="dxa" w:w="144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52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2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Key Talking Points</w:t>
            </w:r>
          </w:p>
        </w:tc>
        <w:tc>
          <w:tcPr>
            <w:tcW w:type="dxa" w:w="2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1440"/>
            <w:tcBorders>
              <w:top w:val="single" w:color="E2E8F0" w:sz="1"/>
              <w:left w:val="single" w:color="E2E8F0" w:sz="1"/>
              <w:bottom w:val="single" w:color="E2E8F0" w:sz="1"/>
              <w:right w:val="single" w:color="E2E8F0" w:sz="1"/>
            </w:tcBorders>
            <w:shd w:fill="FFF7F0" w:val="clear"/>
            <w:tcMar>
              <w:top w:type="dxa" w:w="80"/>
              <w:left w:type="dxa" w:w="120"/>
              <w:bottom w:type="dxa" w:w="80"/>
              <w:right w:type="dxa" w:w="120"/>
            </w:tcMar>
          </w:tcPr>
          <w:p>
            <w:r>
              <w:rPr>
                <w:rFonts w:ascii="Arial" w:cs="Arial" w:eastAsia="Arial" w:hAnsi="Arial"/>
                <w:b/>
                <w:bCs/>
                <w:color w:val="FF7A18"/>
                <w:sz w:val="20"/>
                <w:szCs w:val="20"/>
              </w:rPr>
              <w:t xml:space="preserve">1</w:t>
            </w:r>
          </w:p>
        </w:tc>
        <w:tc>
          <w:tcPr>
            <w:tcW w:type="dxa" w:w="25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icm_compensation.html</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9"/>
                <w:szCs w:val="19"/>
              </w:rPr>
              <w:t xml:space="preserve">Plan design, territory/quota setup, transaction register, dispute workflow</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10 min</w:t>
            </w:r>
          </w:p>
        </w:tc>
      </w:tr>
      <w:tr>
        <w:tc>
          <w:tcPr>
            <w:tcW w:type="dxa" w:w="1440"/>
            <w:tcBorders>
              <w:top w:val="single" w:color="E2E8F0" w:sz="1"/>
              <w:left w:val="single" w:color="E2E8F0" w:sz="1"/>
              <w:bottom w:val="single" w:color="E2E8F0" w:sz="1"/>
              <w:right w:val="single" w:color="E2E8F0" w:sz="1"/>
            </w:tcBorders>
            <w:shd w:fill="FFF7F0" w:val="clear"/>
            <w:tcMar>
              <w:top w:type="dxa" w:w="80"/>
              <w:left w:type="dxa" w:w="120"/>
              <w:bottom w:type="dxa" w:w="80"/>
              <w:right w:type="dxa" w:w="120"/>
            </w:tcMar>
          </w:tcPr>
          <w:p>
            <w:r>
              <w:rPr>
                <w:rFonts w:ascii="Arial" w:cs="Arial" w:eastAsia="Arial" w:hAnsi="Arial"/>
                <w:b/>
                <w:bCs/>
                <w:color w:val="FF7A18"/>
                <w:sz w:val="20"/>
                <w:szCs w:val="20"/>
              </w:rPr>
              <w:t xml:space="preserve">2</w:t>
            </w:r>
          </w:p>
        </w:tc>
        <w:tc>
          <w:tcPr>
            <w:tcW w:type="dxa" w:w="25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cx_opportunity.html</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9"/>
                <w:szCs w:val="19"/>
              </w:rPr>
              <w:t xml:space="preserve">Opportunity team tab (territory/quota), pipeline management, data quality</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8 min</w:t>
            </w:r>
          </w:p>
        </w:tc>
      </w:tr>
      <w:tr>
        <w:tc>
          <w:tcPr>
            <w:tcW w:type="dxa" w:w="1440"/>
            <w:tcBorders>
              <w:top w:val="single" w:color="E2E8F0" w:sz="1"/>
              <w:left w:val="single" w:color="E2E8F0" w:sz="1"/>
              <w:bottom w:val="single" w:color="E2E8F0" w:sz="1"/>
              <w:right w:val="single" w:color="E2E8F0" w:sz="1"/>
            </w:tcBorders>
            <w:shd w:fill="FFF7F0" w:val="clear"/>
            <w:tcMar>
              <w:top w:type="dxa" w:w="80"/>
              <w:left w:type="dxa" w:w="120"/>
              <w:bottom w:type="dxa" w:w="80"/>
              <w:right w:type="dxa" w:w="120"/>
            </w:tcMar>
          </w:tcPr>
          <w:p>
            <w:r>
              <w:rPr>
                <w:rFonts w:ascii="Arial" w:cs="Arial" w:eastAsia="Arial" w:hAnsi="Arial"/>
                <w:b/>
                <w:bCs/>
                <w:color w:val="FF7A18"/>
                <w:sz w:val="20"/>
                <w:szCs w:val="20"/>
              </w:rPr>
              <w:t xml:space="preserve">3</w:t>
            </w:r>
          </w:p>
        </w:tc>
        <w:tc>
          <w:tcPr>
            <w:tcW w:type="dxa" w:w="25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forecasting_pipeline.html</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9"/>
                <w:szCs w:val="19"/>
              </w:rPr>
              <w:t xml:space="preserve">Forecast management, pipeline inspection, activity compliance reporting</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7 min</w:t>
            </w:r>
          </w:p>
        </w:tc>
      </w:tr>
      <w:tr>
        <w:tc>
          <w:tcPr>
            <w:tcW w:type="dxa" w:w="1440"/>
            <w:tcBorders>
              <w:top w:val="single" w:color="E2E8F0" w:sz="1"/>
              <w:left w:val="single" w:color="E2E8F0" w:sz="1"/>
              <w:bottom w:val="single" w:color="E2E8F0" w:sz="1"/>
              <w:right w:val="single" w:color="E2E8F0" w:sz="1"/>
            </w:tcBorders>
            <w:shd w:fill="FFF7F0" w:val="clear"/>
            <w:tcMar>
              <w:top w:type="dxa" w:w="80"/>
              <w:left w:type="dxa" w:w="120"/>
              <w:bottom w:type="dxa" w:w="80"/>
              <w:right w:type="dxa" w:w="120"/>
            </w:tcMar>
          </w:tcPr>
          <w:p>
            <w:r>
              <w:rPr>
                <w:rFonts w:ascii="Arial" w:cs="Arial" w:eastAsia="Arial" w:hAnsi="Arial"/>
                <w:b/>
                <w:bCs/>
                <w:color w:val="FF7A18"/>
                <w:sz w:val="20"/>
                <w:szCs w:val="20"/>
              </w:rPr>
              <w:t xml:space="preserve">4</w:t>
            </w:r>
          </w:p>
        </w:tc>
        <w:tc>
          <w:tcPr>
            <w:tcW w:type="dxa" w:w="25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analytics.html</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9"/>
                <w:szCs w:val="19"/>
              </w:rPr>
              <w:t xml:space="preserve">Ops dashboards: pipeline by stage, rep activity, data completeness score</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5 min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00"/>
              <w:left w:type="dxa" w:w="200"/>
              <w:bottom w:type="dxa" w:w="100"/>
              <w:right w:type="dxa" w:w="200"/>
            </w:tcMar>
          </w:tcPr>
          <w:p>
            <w:r>
              <w:rPr>
                <w:rFonts w:ascii="Arial" w:cs="Arial" w:eastAsia="Arial" w:hAnsi="Arial"/>
                <w:b/>
                <w:bCs/>
                <w:caps/>
                <w:color w:val="15803D"/>
                <w:spacing w:val="20"/>
                <w:sz w:val="20"/>
                <w:szCs w:val="20"/>
              </w:rPr>
              <w:t xml:space="preserve">Detailed Talking Points</w:t>
            </w:r>
          </w:p>
        </w:tc>
      </w:tr>
    </w:tbl>
    <w:p>
      <w:pPr>
        <w:spacing w:after="0" w:before="0"/>
      </w:pPr>
      <w:r>
        <w:t xml:space="preserve"/>
      </w:r>
    </w:p>
    <w:p>
      <w:pPr>
        <w:pStyle w:val="Heading3"/>
      </w:pPr>
      <w:r>
        <w:t xml:space="preserve">icm_compensation.html — Compensation Operations</w:t>
      </w:r>
    </w:p>
    <w:p>
      <w:pPr>
        <w:pStyle w:val="ListParagraph"/>
        <w:numPr>
          <w:ilvl w:val="0"/>
          <w:numId w:val="2"/>
        </w:numPr>
        <w:spacing w:after="40" w:before="40"/>
      </w:pPr>
      <w:r>
        <w:rPr>
          <w:rFonts w:ascii="Arial" w:cs="Arial" w:eastAsia="Arial" w:hAnsi="Arial"/>
          <w:b w:val="false"/>
          <w:bCs w:val="false"/>
          <w:color w:val="0F172A"/>
          <w:sz w:val="21"/>
          <w:szCs w:val="21"/>
        </w:rPr>
        <w:t xml:space="preserve">Oracle ICM is the comp ops team's workspace: plan templates, mass plan assignment, participant import, quota upload — everything through a UI or bulk API.</w:t>
      </w:r>
    </w:p>
    <w:p>
      <w:pPr>
        <w:pStyle w:val="ListParagraph"/>
        <w:numPr>
          <w:ilvl w:val="0"/>
          <w:numId w:val="2"/>
        </w:numPr>
        <w:spacing w:after="40" w:before="40"/>
      </w:pPr>
      <w:r>
        <w:rPr>
          <w:rFonts w:ascii="Arial" w:cs="Arial" w:eastAsia="Arial" w:hAnsi="Arial"/>
          <w:b w:val="false"/>
          <w:bCs w:val="false"/>
          <w:color w:val="0F172A"/>
          <w:sz w:val="21"/>
          <w:szCs w:val="21"/>
        </w:rPr>
        <w:t xml:space="preserve">Transaction register shows every deal credit with business rule applied — sales ops can audit any calculation in seconds, without exporting to Excel.</w:t>
      </w:r>
    </w:p>
    <w:p>
      <w:pPr>
        <w:pStyle w:val="ListParagraph"/>
        <w:numPr>
          <w:ilvl w:val="0"/>
          <w:numId w:val="2"/>
        </w:numPr>
        <w:spacing w:after="40" w:before="40"/>
      </w:pPr>
      <w:r>
        <w:rPr>
          <w:rFonts w:ascii="Arial" w:cs="Arial" w:eastAsia="Arial" w:hAnsi="Arial"/>
          <w:b w:val="false"/>
          <w:bCs w:val="false"/>
          <w:color w:val="0F172A"/>
          <w:sz w:val="21"/>
          <w:szCs w:val="21"/>
        </w:rPr>
        <w:t xml:space="preserve">Dispute SLA: disputes auto-route to sales ops queue with deal data pre-loaded. Average resolution drops from days to hours when the data is right there.</w:t>
      </w:r>
    </w:p>
    <w:p>
      <w:pPr>
        <w:pStyle w:val="ListParagraph"/>
        <w:numPr>
          <w:ilvl w:val="0"/>
          <w:numId w:val="2"/>
        </w:numPr>
        <w:spacing w:after="40" w:before="40"/>
      </w:pPr>
      <w:r>
        <w:rPr>
          <w:rFonts w:ascii="Arial" w:cs="Arial" w:eastAsia="Arial" w:hAnsi="Arial"/>
          <w:b w:val="false"/>
          <w:bCs w:val="false"/>
          <w:color w:val="0F172A"/>
          <w:sz w:val="21"/>
          <w:szCs w:val="21"/>
        </w:rPr>
        <w:t xml:space="preserve">Period processing: ICM runs calculations nightly or on-demand — you can preview payouts before committing, adjust, and re-run. No batch jobs owned by IT.</w:t>
      </w:r>
    </w:p>
    <w:p>
      <w:pPr>
        <w:pStyle w:val="ListParagraph"/>
        <w:numPr>
          <w:ilvl w:val="0"/>
          <w:numId w:val="2"/>
        </w:numPr>
        <w:spacing w:after="40" w:before="40"/>
      </w:pPr>
      <w:r>
        <w:rPr>
          <w:rFonts w:ascii="Arial" w:cs="Arial" w:eastAsia="Arial" w:hAnsi="Arial"/>
          <w:b w:val="false"/>
          <w:bCs w:val="false"/>
          <w:color w:val="0F172A"/>
          <w:sz w:val="21"/>
          <w:szCs w:val="21"/>
        </w:rPr>
        <w:t xml:space="preserve">Quota import: upload a CSV, map columns, validate, import — territory/quota changes take minutes, not a week of configuration requests.</w:t>
      </w:r>
    </w:p>
    <w:p>
      <w:pPr>
        <w:spacing w:after="0" w:before="0"/>
      </w:pPr>
      <w:r>
        <w:t xml:space="preserve"/>
      </w:r>
    </w:p>
    <w:p>
      <w:pPr>
        <w:pStyle w:val="Heading3"/>
      </w:pPr>
      <w:r>
        <w:t xml:space="preserve">cx_opportunity.html — Pipeline Management</w:t>
      </w:r>
    </w:p>
    <w:p>
      <w:pPr>
        <w:pStyle w:val="ListParagraph"/>
        <w:numPr>
          <w:ilvl w:val="0"/>
          <w:numId w:val="2"/>
        </w:numPr>
        <w:spacing w:after="40" w:before="40"/>
      </w:pPr>
      <w:r>
        <w:rPr>
          <w:rFonts w:ascii="Arial" w:cs="Arial" w:eastAsia="Arial" w:hAnsi="Arial"/>
          <w:b w:val="false"/>
          <w:bCs w:val="false"/>
          <w:color w:val="0F172A"/>
          <w:sz w:val="21"/>
          <w:szCs w:val="21"/>
        </w:rPr>
        <w:t xml:space="preserve">Opportunity Team tab shows every deal's owner, territory, quota assignment, and support team — Sales Ops can see misaligned records instantly.</w:t>
      </w:r>
    </w:p>
    <w:p>
      <w:pPr>
        <w:pStyle w:val="ListParagraph"/>
        <w:numPr>
          <w:ilvl w:val="0"/>
          <w:numId w:val="2"/>
        </w:numPr>
        <w:spacing w:after="40" w:before="40"/>
      </w:pPr>
      <w:r>
        <w:rPr>
          <w:rFonts w:ascii="Arial" w:cs="Arial" w:eastAsia="Arial" w:hAnsi="Arial"/>
          <w:b w:val="false"/>
          <w:bCs w:val="false"/>
          <w:color w:val="0F172A"/>
          <w:sz w:val="21"/>
          <w:szCs w:val="21"/>
        </w:rPr>
        <w:t xml:space="preserve">Data quality: required fields enforced by stage — a deal can't advance to "Proposal" without a close date and primary contact. Data quality is built into the workflow.</w:t>
      </w:r>
    </w:p>
    <w:p>
      <w:pPr>
        <w:pStyle w:val="ListParagraph"/>
        <w:numPr>
          <w:ilvl w:val="0"/>
          <w:numId w:val="2"/>
        </w:numPr>
        <w:spacing w:after="40" w:before="40"/>
      </w:pPr>
      <w:r>
        <w:rPr>
          <w:rFonts w:ascii="Arial" w:cs="Arial" w:eastAsia="Arial" w:hAnsi="Arial"/>
          <w:b w:val="false"/>
          <w:bCs w:val="false"/>
          <w:color w:val="0F172A"/>
          <w:sz w:val="21"/>
          <w:szCs w:val="21"/>
        </w:rPr>
        <w:t xml:space="preserve">Territory assignment is automatic: when an account is created in a specific geography, it routes to the correct rep based on territory rules — no manual assignment.</w:t>
      </w:r>
    </w:p>
    <w:p>
      <w:pPr>
        <w:pStyle w:val="ListParagraph"/>
        <w:numPr>
          <w:ilvl w:val="0"/>
          <w:numId w:val="2"/>
        </w:numPr>
        <w:spacing w:after="40" w:before="40"/>
      </w:pPr>
      <w:r>
        <w:rPr>
          <w:rFonts w:ascii="Arial" w:cs="Arial" w:eastAsia="Arial" w:hAnsi="Arial"/>
          <w:b w:val="false"/>
          <w:bCs w:val="false"/>
          <w:color w:val="0F172A"/>
          <w:sz w:val="21"/>
          <w:szCs w:val="21"/>
        </w:rPr>
        <w:t xml:space="preserve">Duplicate detection runs on account and contact creation — stops the data quality problem at the source.</w:t>
      </w:r>
    </w:p>
    <w:p>
      <w:pPr>
        <w:spacing w:after="0" w:before="0"/>
      </w:pPr>
      <w:r>
        <w:t xml:space="preserve"/>
      </w:r>
    </w:p>
    <w:p>
      <w:pPr>
        <w:pStyle w:val="Heading3"/>
      </w:pPr>
      <w:r>
        <w:t xml:space="preserve">forecasting_pipeline.html — Forecast Management</w:t>
      </w:r>
    </w:p>
    <w:p>
      <w:pPr>
        <w:pStyle w:val="ListParagraph"/>
        <w:numPr>
          <w:ilvl w:val="0"/>
          <w:numId w:val="2"/>
        </w:numPr>
        <w:spacing w:after="40" w:before="40"/>
      </w:pPr>
      <w:r>
        <w:rPr>
          <w:rFonts w:ascii="Arial" w:cs="Arial" w:eastAsia="Arial" w:hAnsi="Arial"/>
          <w:b w:val="false"/>
          <w:bCs w:val="false"/>
          <w:color w:val="0F172A"/>
          <w:sz w:val="21"/>
          <w:szCs w:val="21"/>
        </w:rPr>
        <w:t xml:space="preserve">Reps submit their forecast categories (Commit, Best Case, Pipeline) directly in Oracle — no email, no spreadsheet. The roll-up to manager and VP is real time.</w:t>
      </w:r>
    </w:p>
    <w:p>
      <w:pPr>
        <w:pStyle w:val="ListParagraph"/>
        <w:numPr>
          <w:ilvl w:val="0"/>
          <w:numId w:val="2"/>
        </w:numPr>
        <w:spacing w:after="40" w:before="40"/>
      </w:pPr>
      <w:r>
        <w:rPr>
          <w:rFonts w:ascii="Arial" w:cs="Arial" w:eastAsia="Arial" w:hAnsi="Arial"/>
          <w:b w:val="false"/>
          <w:bCs w:val="false"/>
          <w:color w:val="0F172A"/>
          <w:sz w:val="21"/>
          <w:szCs w:val="21"/>
        </w:rPr>
        <w:t xml:space="preserve">Forecast override: managers can adjust individual deal forecasts with a note — audit trail captured. No more "I changed it in the spreadsheet."</w:t>
      </w:r>
    </w:p>
    <w:p>
      <w:pPr>
        <w:pStyle w:val="ListParagraph"/>
        <w:numPr>
          <w:ilvl w:val="0"/>
          <w:numId w:val="2"/>
        </w:numPr>
        <w:spacing w:after="40" w:before="40"/>
      </w:pPr>
      <w:r>
        <w:rPr>
          <w:rFonts w:ascii="Arial" w:cs="Arial" w:eastAsia="Arial" w:hAnsi="Arial"/>
          <w:b w:val="false"/>
          <w:bCs w:val="false"/>
          <w:color w:val="0F172A"/>
          <w:sz w:val="21"/>
          <w:szCs w:val="21"/>
        </w:rPr>
        <w:t xml:space="preserve">Activity compliance: report on which reps are logging activities vs. which are not — correlate activity rate with win rate. Coach with data.</w:t>
      </w:r>
    </w:p>
    <w:p>
      <w:pPr>
        <w:pStyle w:val="ListParagraph"/>
        <w:numPr>
          <w:ilvl w:val="0"/>
          <w:numId w:val="2"/>
        </w:numPr>
        <w:spacing w:after="40" w:before="40"/>
      </w:pPr>
      <w:r>
        <w:rPr>
          <w:rFonts w:ascii="Arial" w:cs="Arial" w:eastAsia="Arial" w:hAnsi="Arial"/>
          <w:b w:val="false"/>
          <w:bCs w:val="false"/>
          <w:color w:val="0F172A"/>
          <w:sz w:val="21"/>
          <w:szCs w:val="21"/>
        </w:rPr>
        <w:t xml:space="preserve">Pipeline coverage ratio: Oracle shows pipeline needed to hit quota at each rep, team, and region level — updated in real time as deals move.</w:t>
      </w:r>
    </w:p>
    <w:p>
      <w:pPr>
        <w:spacing w:after="0" w:before="0"/>
      </w:pPr>
      <w:r>
        <w:t xml:space="preserve"/>
      </w:r>
    </w:p>
    <w:p>
      <w:pPr>
        <w:pStyle w:val="Heading3"/>
      </w:pPr>
      <w:r>
        <w:t xml:space="preserve">analytics.html — Ops Reporting</w:t>
      </w:r>
    </w:p>
    <w:p>
      <w:pPr>
        <w:pStyle w:val="ListParagraph"/>
        <w:numPr>
          <w:ilvl w:val="0"/>
          <w:numId w:val="2"/>
        </w:numPr>
        <w:spacing w:after="40" w:before="40"/>
      </w:pPr>
      <w:r>
        <w:rPr>
          <w:rFonts w:ascii="Arial" w:cs="Arial" w:eastAsia="Arial" w:hAnsi="Arial"/>
          <w:b w:val="false"/>
          <w:bCs w:val="false"/>
          <w:color w:val="0F172A"/>
          <w:sz w:val="21"/>
          <w:szCs w:val="21"/>
        </w:rPr>
        <w:t xml:space="preserve">Out-of-the-box dashboards: pipeline by stage, activity by rep, lead response time, win/loss by product — ready on day one, no configuration required.</w:t>
      </w:r>
    </w:p>
    <w:p>
      <w:pPr>
        <w:pStyle w:val="ListParagraph"/>
        <w:numPr>
          <w:ilvl w:val="0"/>
          <w:numId w:val="2"/>
        </w:numPr>
        <w:spacing w:after="40" w:before="40"/>
      </w:pPr>
      <w:r>
        <w:rPr>
          <w:rFonts w:ascii="Arial" w:cs="Arial" w:eastAsia="Arial" w:hAnsi="Arial"/>
          <w:b w:val="false"/>
          <w:bCs w:val="false"/>
          <w:color w:val="0F172A"/>
          <w:sz w:val="21"/>
          <w:szCs w:val="21"/>
        </w:rPr>
        <w:t xml:space="preserve">Custom report builder: drag-and-drop fields, filters, groupings — build any view in minutes. Export to Excel or schedule email delivery.</w:t>
      </w:r>
    </w:p>
    <w:p>
      <w:pPr>
        <w:pStyle w:val="ListParagraph"/>
        <w:numPr>
          <w:ilvl w:val="0"/>
          <w:numId w:val="2"/>
        </w:numPr>
        <w:spacing w:after="40" w:before="40"/>
      </w:pPr>
      <w:r>
        <w:rPr>
          <w:rFonts w:ascii="Arial" w:cs="Arial" w:eastAsia="Arial" w:hAnsi="Arial"/>
          <w:b w:val="false"/>
          <w:bCs w:val="false"/>
          <w:color w:val="0F172A"/>
          <w:sz w:val="21"/>
          <w:szCs w:val="21"/>
        </w:rPr>
        <w:t xml:space="preserve">Data completeness score: see the percentage of opportunities with all required fields populated — fix data issues before they affect the forecast.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8FF" w:val="clear"/>
            <w:tcMar>
              <w:top w:type="dxa" w:w="100"/>
              <w:left w:type="dxa" w:w="200"/>
              <w:bottom w:type="dxa" w:w="100"/>
              <w:right w:type="dxa" w:w="200"/>
            </w:tcMar>
          </w:tcPr>
          <w:p>
            <w:r>
              <w:rPr>
                <w:rFonts w:ascii="Arial" w:cs="Arial" w:eastAsia="Arial" w:hAnsi="Arial"/>
                <w:b/>
                <w:bCs/>
                <w:caps/>
                <w:color w:val="7C3AED"/>
                <w:spacing w:val="20"/>
                <w:sz w:val="20"/>
                <w:szCs w:val="20"/>
              </w:rPr>
              <w:t xml:space="preserve">Discovery Questions to Ask</w:t>
            </w:r>
          </w:p>
        </w:tc>
      </w:tr>
    </w:tbl>
    <w:p>
      <w:pPr>
        <w:spacing w:after="0" w:before="0"/>
      </w:pPr>
      <w:r>
        <w:t xml:space="preserve"/>
      </w:r>
    </w:p>
    <w:p>
      <w:pPr>
        <w:pStyle w:val="ListParagraph"/>
        <w:numPr>
          <w:ilvl w:val="0"/>
          <w:numId w:val="3"/>
        </w:numPr>
        <w:spacing w:after="40" w:before="40"/>
      </w:pPr>
      <w:r>
        <w:rPr>
          <w:rFonts w:ascii="Arial" w:cs="Arial" w:eastAsia="Arial" w:hAnsi="Arial"/>
          <w:b w:val="false"/>
          <w:bCs w:val="false"/>
          <w:color w:val="0F172A"/>
          <w:sz w:val="21"/>
          <w:szCs w:val="21"/>
        </w:rPr>
        <w:t xml:space="preserve">How do you currently manage territory and quota changes — what's the process and how long does it take?</w:t>
      </w:r>
    </w:p>
    <w:p>
      <w:pPr>
        <w:pStyle w:val="ListParagraph"/>
        <w:numPr>
          <w:ilvl w:val="0"/>
          <w:numId w:val="3"/>
        </w:numPr>
        <w:spacing w:after="40" w:before="40"/>
      </w:pPr>
      <w:r>
        <w:rPr>
          <w:rFonts w:ascii="Arial" w:cs="Arial" w:eastAsia="Arial" w:hAnsi="Arial"/>
          <w:b w:val="false"/>
          <w:bCs w:val="false"/>
          <w:color w:val="0F172A"/>
          <w:sz w:val="21"/>
          <w:szCs w:val="21"/>
        </w:rPr>
        <w:t xml:space="preserve">How many comp disputes do you handle per pay period, and what's your resolution process today?</w:t>
      </w:r>
    </w:p>
    <w:p>
      <w:pPr>
        <w:pStyle w:val="ListParagraph"/>
        <w:numPr>
          <w:ilvl w:val="0"/>
          <w:numId w:val="3"/>
        </w:numPr>
        <w:spacing w:after="40" w:before="40"/>
      </w:pPr>
      <w:r>
        <w:rPr>
          <w:rFonts w:ascii="Arial" w:cs="Arial" w:eastAsia="Arial" w:hAnsi="Arial"/>
          <w:b w:val="false"/>
          <w:bCs w:val="false"/>
          <w:color w:val="0F172A"/>
          <w:sz w:val="21"/>
          <w:szCs w:val="21"/>
        </w:rPr>
        <w:t xml:space="preserve">How does a rep submit their forecast today — email, spreadsheet, or CRM?</w:t>
      </w:r>
    </w:p>
    <w:p>
      <w:pPr>
        <w:pStyle w:val="ListParagraph"/>
        <w:numPr>
          <w:ilvl w:val="0"/>
          <w:numId w:val="3"/>
        </w:numPr>
        <w:spacing w:after="40" w:before="40"/>
      </w:pPr>
      <w:r>
        <w:rPr>
          <w:rFonts w:ascii="Arial" w:cs="Arial" w:eastAsia="Arial" w:hAnsi="Arial"/>
          <w:b w:val="false"/>
          <w:bCs w:val="false"/>
          <w:color w:val="0F172A"/>
          <w:sz w:val="21"/>
          <w:szCs w:val="21"/>
        </w:rPr>
        <w:t xml:space="preserve">What percentage of your pipeline records have complete and accurate data? How do you know?</w:t>
      </w:r>
    </w:p>
    <w:p>
      <w:pPr>
        <w:pStyle w:val="ListParagraph"/>
        <w:numPr>
          <w:ilvl w:val="0"/>
          <w:numId w:val="3"/>
        </w:numPr>
        <w:spacing w:after="40" w:before="40"/>
      </w:pPr>
      <w:r>
        <w:rPr>
          <w:rFonts w:ascii="Arial" w:cs="Arial" w:eastAsia="Arial" w:hAnsi="Arial"/>
          <w:b w:val="false"/>
          <w:bCs w:val="false"/>
          <w:color w:val="0F172A"/>
          <w:sz w:val="21"/>
          <w:szCs w:val="21"/>
        </w:rPr>
        <w:t xml:space="preserve">How long does it take to produce your monthly pipeline review report?</w:t>
      </w:r>
    </w:p>
    <w:p>
      <w:pPr>
        <w:pStyle w:val="ListParagraph"/>
        <w:numPr>
          <w:ilvl w:val="0"/>
          <w:numId w:val="3"/>
        </w:numPr>
        <w:spacing w:after="40" w:before="40"/>
      </w:pPr>
      <w:r>
        <w:rPr>
          <w:rFonts w:ascii="Arial" w:cs="Arial" w:eastAsia="Arial" w:hAnsi="Arial"/>
          <w:b w:val="false"/>
          <w:bCs w:val="false"/>
          <w:color w:val="0F172A"/>
          <w:sz w:val="21"/>
          <w:szCs w:val="21"/>
        </w:rPr>
        <w:t xml:space="preserve">What's the biggest manual process in your sales operations workflow that you'd love to automate?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00"/>
              <w:left w:type="dxa" w:w="200"/>
              <w:bottom w:type="dxa" w:w="100"/>
              <w:right w:type="dxa" w:w="200"/>
            </w:tcMar>
          </w:tcPr>
          <w:p>
            <w:r>
              <w:rPr>
                <w:rFonts w:ascii="Arial" w:cs="Arial" w:eastAsia="Arial" w:hAnsi="Arial"/>
                <w:b/>
                <w:bCs/>
                <w:caps/>
                <w:color w:val="DC2626"/>
                <w:spacing w:val="20"/>
                <w:sz w:val="20"/>
                <w:szCs w:val="20"/>
              </w:rPr>
              <w:t xml:space="preserve">Common Objections &amp; Responses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r>
              <w:rPr>
                <w:rFonts w:ascii="Arial" w:cs="Arial" w:eastAsia="Arial" w:hAnsi="Arial"/>
                <w:b/>
                <w:bCs/>
                <w:color w:val="DC2626"/>
                <w:sz w:val="20"/>
                <w:szCs w:val="20"/>
              </w:rPr>
              <w:t xml:space="preserve">Objection</w:t>
            </w:r>
          </w:p>
        </w:tc>
        <w:tc>
          <w:tcPr>
            <w:tcW w:type="dxa" w:w="536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r>
              <w:rPr>
                <w:rFonts w:ascii="Arial" w:cs="Arial" w:eastAsia="Arial" w:hAnsi="Arial"/>
                <w:b/>
                <w:bCs/>
                <w:color w:val="DC2626"/>
                <w:sz w:val="20"/>
                <w:szCs w:val="20"/>
              </w:rPr>
              <w:t xml:space="preserve">Response</w:t>
            </w:r>
          </w:p>
        </w:tc>
      </w:tr>
      <w:tr>
        <w:tc>
          <w:tcPr>
            <w:tcW w:type="dxa" w:w="40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tcPr>
          <w:p>
            <w:r>
              <w:rPr>
                <w:rFonts w:ascii="Arial" w:cs="Arial" w:eastAsia="Arial" w:hAnsi="Arial"/>
                <w:i/>
                <w:iCs/>
                <w:color w:val="0F172A"/>
                <w:sz w:val="20"/>
                <w:szCs w:val="20"/>
              </w:rPr>
              <w:t xml:space="preserve">Our comp plans change frequently — can the system keep up?</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Oracle ICM uses a plan versioning model with effective dates — you can set up the new plan version in advance and it activates automatically on the start date. Mid-period changes use proration rules. No freeze period required.</w:t>
            </w:r>
          </w:p>
        </w:tc>
      </w:tr>
      <w:tr>
        <w:tc>
          <w:tcPr>
            <w:tcW w:type="dxa" w:w="40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tcPr>
          <w:p>
            <w:r>
              <w:rPr>
                <w:rFonts w:ascii="Arial" w:cs="Arial" w:eastAsia="Arial" w:hAnsi="Arial"/>
                <w:i/>
                <w:iCs/>
                <w:color w:val="0F172A"/>
                <w:sz w:val="20"/>
                <w:szCs w:val="20"/>
              </w:rPr>
              <w:t xml:space="preserve">We've tried CRM data quality projects before — they never stick.</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Oracle CX enforces data quality at the point of entry: required fields by stage, picklist standardization, duplicate detection, and address validation. The system prevents bad data from being created, rather than trying to clean it up after the fact.</w:t>
            </w:r>
          </w:p>
        </w:tc>
      </w:tr>
      <w:tr>
        <w:tc>
          <w:tcPr>
            <w:tcW w:type="dxa" w:w="40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tcPr>
          <w:p>
            <w:r>
              <w:rPr>
                <w:rFonts w:ascii="Arial" w:cs="Arial" w:eastAsia="Arial" w:hAnsi="Arial"/>
                <w:i/>
                <w:iCs/>
                <w:color w:val="0F172A"/>
                <w:sz w:val="20"/>
                <w:szCs w:val="20"/>
              </w:rPr>
              <w:t xml:space="preserve">We need custom reports that the out-of-box doesn't cover.</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Oracle CX includes OTBI (Oracle Transactional Business Intelligence) — a self-service report builder with access to every data object. Argano also delivers a standard reporting accelerator with 40+ pre-built sales ops reports on day one.</w:t>
            </w:r>
          </w:p>
        </w:tc>
      </w:tr>
      <w:tr>
        <w:tc>
          <w:tcPr>
            <w:tcW w:type="dxa" w:w="40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tcPr>
          <w:p>
            <w:r>
              <w:rPr>
                <w:rFonts w:ascii="Arial" w:cs="Arial" w:eastAsia="Arial" w:hAnsi="Arial"/>
                <w:i/>
                <w:iCs/>
                <w:color w:val="0F172A"/>
                <w:sz w:val="20"/>
                <w:szCs w:val="20"/>
              </w:rPr>
              <w:t xml:space="preserve">This will require a lot of IT involvement.</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For sales ops tasks — territory upload, quota import, plan assignment, report building — IT is not required. Oracle CX is designed for business user administration. IT is only involved for integration and SSO setup, which Argano handles.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C3" w:val="clear"/>
            <w:tcMar>
              <w:top w:type="dxa" w:w="100"/>
              <w:left w:type="dxa" w:w="200"/>
              <w:bottom w:type="dxa" w:w="100"/>
              <w:right w:type="dxa" w:w="200"/>
            </w:tcMar>
          </w:tcPr>
          <w:p>
            <w:r>
              <w:rPr>
                <w:rFonts w:ascii="Arial" w:cs="Arial" w:eastAsia="Arial" w:hAnsi="Arial"/>
                <w:b/>
                <w:bCs/>
                <w:caps/>
                <w:color w:val="92400E"/>
                <w:spacing w:val="20"/>
                <w:sz w:val="20"/>
                <w:szCs w:val="20"/>
              </w:rPr>
              <w:t xml:space="preserve">Closing Move &amp; Call to Action</w:t>
            </w:r>
          </w:p>
        </w:tc>
      </w:tr>
    </w:tbl>
    <w:p>
      <w:pPr>
        <w:spacing w:after="0" w:before="0"/>
      </w:pPr>
      <w:r>
        <w:t xml:space="preserve"/>
      </w:r>
    </w:p>
    <w:p>
      <w:pPr>
        <w:spacing w:after="60" w:before="60"/>
        <w:jc w:val="left"/>
      </w:pPr>
      <w:r>
        <w:rPr>
          <w:rFonts w:ascii="Arial" w:cs="Arial" w:eastAsia="Arial" w:hAnsi="Arial"/>
          <w:b/>
          <w:bCs/>
          <w:color w:val="FF7A18"/>
          <w:sz w:val="22"/>
          <w:szCs w:val="22"/>
        </w:rPr>
        <w:t xml:space="preserve">Closing Move: </w:t>
      </w:r>
      <w:r>
        <w:rPr>
          <w:rFonts w:ascii="Arial" w:cs="Arial" w:eastAsia="Arial" w:hAnsi="Arial"/>
          <w:color w:val="0F172A"/>
          <w:sz w:val="22"/>
          <w:szCs w:val="22"/>
        </w:rPr>
        <w:t xml:space="preserve">Ask the ops lead for their most painful manual process. Map it to an Oracle automation. Then say:</w:t>
      </w:r>
    </w:p>
    <w:p>
      <w:pPr>
        <w:spacing w:after="60" w:before="60"/>
        <w:jc w:val="left"/>
      </w:pPr>
      <w:r>
        <w:rPr>
          <w:rFonts w:ascii="Arial" w:cs="Arial" w:eastAsia="Arial" w:hAnsi="Arial"/>
          <w:i/>
          <w:iCs/>
          <w:color w:val="475569"/>
          <w:sz w:val="22"/>
          <w:szCs w:val="22"/>
        </w:rPr>
        <w:t xml:space="preserve">"Let's do a 1-hour process audit. You walk me through your top 5 manual sales ops processes, I'll map each one to an Oracle automation. You leave with a prioritized automation roadmap — and a clear picture of the hours you get back per month."</w:t>
      </w:r>
    </w:p>
    <w:p>
      <w:pPr>
        <w:spacing w:after="0" w:before="0"/>
      </w:pPr>
      <w:r>
        <w:t xml:space="preserve"/>
      </w:r>
    </w:p>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4FF" w:val="clear"/>
            <w:tcMar>
              <w:top w:type="dxa" w:w="180"/>
              <w:left w:type="dxa" w:w="240"/>
              <w:bottom w:type="dxa" w:w="180"/>
              <w:right w:type="dxa" w:w="240"/>
            </w:tcMar>
          </w:tcPr>
          <w:p>
            <w:r>
              <w:rPr>
                <w:rFonts w:ascii="Arial" w:cs="Arial" w:eastAsia="Arial" w:hAnsi="Arial"/>
                <w:b/>
                <w:bCs/>
                <w:caps/>
                <w:color w:val="FF7A18"/>
                <w:spacing w:val="40"/>
                <w:sz w:val="18"/>
                <w:szCs w:val="18"/>
              </w:rPr>
              <w:t xml:space="preserve">PERSONA 05</w:t>
            </w:r>
          </w:p>
          <w:p>
            <w:r>
              <w:rPr>
                <w:rFonts w:ascii="Arial" w:cs="Arial" w:eastAsia="Arial" w:hAnsi="Arial"/>
                <w:b/>
                <w:bCs/>
                <w:color w:val="0F172A"/>
                <w:sz w:val="36"/>
                <w:szCs w:val="36"/>
              </w:rPr>
              <w:t xml:space="preserve">📣  Marketing Leader / CMO</w:t>
            </w:r>
          </w:p>
          <w:p>
            <w:r>
              <w:rPr>
                <w:rFonts w:ascii="Arial" w:cs="Arial" w:eastAsia="Arial" w:hAnsi="Arial"/>
                <w:i/>
                <w:iCs/>
                <w:color w:val="475569"/>
                <w:sz w:val="22"/>
                <w:szCs w:val="22"/>
              </w:rPr>
              <w:t xml:space="preserve">Chief Marketing Officer · VP Demand Generation · Marketing Director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F0" w:val="clear"/>
            <w:tcMar>
              <w:top w:type="dxa" w:w="100"/>
              <w:left w:type="dxa" w:w="200"/>
              <w:bottom w:type="dxa" w:w="100"/>
              <w:right w:type="dxa" w:w="200"/>
            </w:tcMar>
          </w:tcPr>
          <w:p>
            <w:r>
              <w:rPr>
                <w:rFonts w:ascii="Arial" w:cs="Arial" w:eastAsia="Arial" w:hAnsi="Arial"/>
                <w:b/>
                <w:bCs/>
                <w:caps/>
                <w:color w:val="FF7A18"/>
                <w:spacing w:val="20"/>
                <w:sz w:val="20"/>
                <w:szCs w:val="20"/>
              </w:rPr>
              <w:t xml:space="preserve">Persona Profile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Role</w:t>
            </w:r>
          </w:p>
        </w:tc>
        <w:tc>
          <w:tcPr>
            <w:tcW w:type="dxa" w:w="64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Chief Marketing Officer · VP Demand Generation · Marketing Director</w:t>
            </w:r>
          </w:p>
        </w:tc>
      </w:tr>
      <w:tr>
        <w:tc>
          <w:tcPr>
            <w:tcW w:type="dxa" w:w="2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Primary Pain Points</w:t>
            </w:r>
          </w:p>
        </w:tc>
        <w:tc>
          <w:tcPr>
            <w:tcW w:type="dxa" w:w="64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Poor lead quality from marketing to sales · No visibility into what happens to MQLs after handoff · Campaign ROI hard to measure · Disconnected marketing and CRM data · Leads falling through the cracks</w:t>
            </w:r>
          </w:p>
        </w:tc>
      </w:tr>
      <w:tr>
        <w:tc>
          <w:tcPr>
            <w:tcW w:type="dxa" w:w="2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What They Care About</w:t>
            </w:r>
          </w:p>
        </w:tc>
        <w:tc>
          <w:tcPr>
            <w:tcW w:type="dxa" w:w="64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MQL-to-SQL conversion rate · Campaign attribution · Marketing ROI · Alignment with sales · Brand and content performance</w:t>
            </w:r>
          </w:p>
        </w:tc>
      </w:tr>
      <w:tr>
        <w:tc>
          <w:tcPr>
            <w:tcW w:type="dxa" w:w="2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Questions They Ask</w:t>
            </w:r>
          </w:p>
        </w:tc>
        <w:tc>
          <w:tcPr>
            <w:tcW w:type="dxa" w:w="64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"How does Eloqua connect to Sales Cloud?" · "Can we see what happens to our leads after sales takes them?" · "How does lead scoring work?" · "What does the handoff look like?"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00"/>
              <w:left w:type="dxa" w:w="200"/>
              <w:bottom w:type="dxa" w:w="100"/>
              <w:right w:type="dxa" w:w="200"/>
            </w:tcMar>
          </w:tcPr>
          <w:p>
            <w:r>
              <w:rPr>
                <w:rFonts w:ascii="Arial" w:cs="Arial" w:eastAsia="Arial" w:hAnsi="Arial"/>
                <w:b/>
                <w:bCs/>
                <w:caps/>
                <w:color w:val="1D4ED8"/>
                <w:spacing w:val="20"/>
                <w:sz w:val="20"/>
                <w:szCs w:val="20"/>
              </w:rPr>
              <w:t xml:space="preserve">Demo Screen Flow</w:t>
            </w:r>
          </w:p>
        </w:tc>
      </w:tr>
    </w:tbl>
    <w:p>
      <w:pPr>
        <w:spacing w:after="0" w:before="0"/>
      </w:pPr>
      <w:r>
        <w:t xml:space="preserve"/>
      </w:r>
    </w:p>
    <w:p>
      <w:pPr>
        <w:spacing w:after="60" w:before="60"/>
        <w:jc w:val="left"/>
      </w:pPr>
      <w:r>
        <w:rPr>
          <w:rFonts w:ascii="Arial" w:cs="Arial" w:eastAsia="Arial" w:hAnsi="Arial"/>
          <w:b/>
          <w:bCs/>
          <w:i w:val="false"/>
          <w:iCs w:val="false"/>
          <w:color w:val="0F172A"/>
          <w:sz w:val="22"/>
          <w:szCs w:val="22"/>
        </w:rPr>
        <w:t xml:space="preserve">Total demo time: 25–30 minutes  ·  Screens: 4</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2800"/>
        <w:gridCol w:w="2600"/>
      </w:tblGrid>
      <w:tr>
        <w:tc>
          <w:tcPr>
            <w:tcW w:type="dxa" w:w="144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52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2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Key Talking Points</w:t>
            </w:r>
          </w:p>
        </w:tc>
        <w:tc>
          <w:tcPr>
            <w:tcW w:type="dxa" w:w="2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1440"/>
            <w:tcBorders>
              <w:top w:val="single" w:color="E2E8F0" w:sz="1"/>
              <w:left w:val="single" w:color="E2E8F0" w:sz="1"/>
              <w:bottom w:val="single" w:color="E2E8F0" w:sz="1"/>
              <w:right w:val="single" w:color="E2E8F0" w:sz="1"/>
            </w:tcBorders>
            <w:shd w:fill="FFF7F0" w:val="clear"/>
            <w:tcMar>
              <w:top w:type="dxa" w:w="80"/>
              <w:left w:type="dxa" w:w="120"/>
              <w:bottom w:type="dxa" w:w="80"/>
              <w:right w:type="dxa" w:w="120"/>
            </w:tcMar>
          </w:tcPr>
          <w:p>
            <w:r>
              <w:rPr>
                <w:rFonts w:ascii="Arial" w:cs="Arial" w:eastAsia="Arial" w:hAnsi="Arial"/>
                <w:b/>
                <w:bCs/>
                <w:color w:val="FF7A18"/>
                <w:sz w:val="20"/>
                <w:szCs w:val="20"/>
              </w:rPr>
              <w:t xml:space="preserve">1</w:t>
            </w:r>
          </w:p>
        </w:tc>
        <w:tc>
          <w:tcPr>
            <w:tcW w:type="dxa" w:w="25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marketing_orchestration.html</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9"/>
                <w:szCs w:val="19"/>
              </w:rPr>
              <w:t xml:space="preserve">Eloqua campaign builder, segmentation, journey builder, engagement analytics, lead scoring</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12 min</w:t>
            </w:r>
          </w:p>
        </w:tc>
      </w:tr>
      <w:tr>
        <w:tc>
          <w:tcPr>
            <w:tcW w:type="dxa" w:w="1440"/>
            <w:tcBorders>
              <w:top w:val="single" w:color="E2E8F0" w:sz="1"/>
              <w:left w:val="single" w:color="E2E8F0" w:sz="1"/>
              <w:bottom w:val="single" w:color="E2E8F0" w:sz="1"/>
              <w:right w:val="single" w:color="E2E8F0" w:sz="1"/>
            </w:tcBorders>
            <w:shd w:fill="FFF7F0" w:val="clear"/>
            <w:tcMar>
              <w:top w:type="dxa" w:w="80"/>
              <w:left w:type="dxa" w:w="120"/>
              <w:bottom w:type="dxa" w:w="80"/>
              <w:right w:type="dxa" w:w="120"/>
            </w:tcMar>
          </w:tcPr>
          <w:p>
            <w:r>
              <w:rPr>
                <w:rFonts w:ascii="Arial" w:cs="Arial" w:eastAsia="Arial" w:hAnsi="Arial"/>
                <w:b/>
                <w:bCs/>
                <w:color w:val="FF7A18"/>
                <w:sz w:val="20"/>
                <w:szCs w:val="20"/>
              </w:rPr>
              <w:t xml:space="preserve">2</w:t>
            </w:r>
          </w:p>
        </w:tc>
        <w:tc>
          <w:tcPr>
            <w:tcW w:type="dxa" w:w="25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cx_lead.html</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9"/>
                <w:szCs w:val="19"/>
              </w:rPr>
              <w:t xml:space="preserve">Show how an MQL becomes a lead in Sales Cloud, AI score, Smart Actions, territory routing</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8 min</w:t>
            </w:r>
          </w:p>
        </w:tc>
      </w:tr>
      <w:tr>
        <w:tc>
          <w:tcPr>
            <w:tcW w:type="dxa" w:w="1440"/>
            <w:tcBorders>
              <w:top w:val="single" w:color="E2E8F0" w:sz="1"/>
              <w:left w:val="single" w:color="E2E8F0" w:sz="1"/>
              <w:bottom w:val="single" w:color="E2E8F0" w:sz="1"/>
              <w:right w:val="single" w:color="E2E8F0" w:sz="1"/>
            </w:tcBorders>
            <w:shd w:fill="FFF7F0" w:val="clear"/>
            <w:tcMar>
              <w:top w:type="dxa" w:w="80"/>
              <w:left w:type="dxa" w:w="120"/>
              <w:bottom w:type="dxa" w:w="80"/>
              <w:right w:type="dxa" w:w="120"/>
            </w:tcMar>
          </w:tcPr>
          <w:p>
            <w:r>
              <w:rPr>
                <w:rFonts w:ascii="Arial" w:cs="Arial" w:eastAsia="Arial" w:hAnsi="Arial"/>
                <w:b/>
                <w:bCs/>
                <w:color w:val="FF7A18"/>
                <w:sz w:val="20"/>
                <w:szCs w:val="20"/>
              </w:rPr>
              <w:t xml:space="preserve">3</w:t>
            </w:r>
          </w:p>
        </w:tc>
        <w:tc>
          <w:tcPr>
            <w:tcW w:type="dxa" w:w="25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cx_opportunity.html</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9"/>
                <w:szCs w:val="19"/>
              </w:rPr>
              <w:t xml:space="preserve">Campaign attribution on the opportunity — where did this deal start?</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5 min</w:t>
            </w:r>
          </w:p>
        </w:tc>
      </w:tr>
      <w:tr>
        <w:tc>
          <w:tcPr>
            <w:tcW w:type="dxa" w:w="1440"/>
            <w:tcBorders>
              <w:top w:val="single" w:color="E2E8F0" w:sz="1"/>
              <w:left w:val="single" w:color="E2E8F0" w:sz="1"/>
              <w:bottom w:val="single" w:color="E2E8F0" w:sz="1"/>
              <w:right w:val="single" w:color="E2E8F0" w:sz="1"/>
            </w:tcBorders>
            <w:shd w:fill="FFF7F0" w:val="clear"/>
            <w:tcMar>
              <w:top w:type="dxa" w:w="80"/>
              <w:left w:type="dxa" w:w="120"/>
              <w:bottom w:type="dxa" w:w="80"/>
              <w:right w:type="dxa" w:w="120"/>
            </w:tcMar>
          </w:tcPr>
          <w:p>
            <w:r>
              <w:rPr>
                <w:rFonts w:ascii="Arial" w:cs="Arial" w:eastAsia="Arial" w:hAnsi="Arial"/>
                <w:b/>
                <w:bCs/>
                <w:color w:val="FF7A18"/>
                <w:sz w:val="20"/>
                <w:szCs w:val="20"/>
              </w:rPr>
              <w:t xml:space="preserve">4</w:t>
            </w:r>
          </w:p>
        </w:tc>
        <w:tc>
          <w:tcPr>
            <w:tcW w:type="dxa" w:w="25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analytics.html</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9"/>
                <w:szCs w:val="19"/>
              </w:rPr>
              <w:t xml:space="preserve">Marketing-to-revenue attribution: MQL→SQL→Opportunity→Close waterfall</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5 min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00"/>
              <w:left w:type="dxa" w:w="200"/>
              <w:bottom w:type="dxa" w:w="100"/>
              <w:right w:type="dxa" w:w="200"/>
            </w:tcMar>
          </w:tcPr>
          <w:p>
            <w:r>
              <w:rPr>
                <w:rFonts w:ascii="Arial" w:cs="Arial" w:eastAsia="Arial" w:hAnsi="Arial"/>
                <w:b/>
                <w:bCs/>
                <w:caps/>
                <w:color w:val="15803D"/>
                <w:spacing w:val="20"/>
                <w:sz w:val="20"/>
                <w:szCs w:val="20"/>
              </w:rPr>
              <w:t xml:space="preserve">Detailed Talking Points</w:t>
            </w:r>
          </w:p>
        </w:tc>
      </w:tr>
    </w:tbl>
    <w:p>
      <w:pPr>
        <w:spacing w:after="0" w:before="0"/>
      </w:pPr>
      <w:r>
        <w:t xml:space="preserve"/>
      </w:r>
    </w:p>
    <w:p>
      <w:pPr>
        <w:pStyle w:val="Heading3"/>
      </w:pPr>
      <w:r>
        <w:t xml:space="preserve">marketing_orchestration.html — Campaign Orchestration</w:t>
      </w:r>
    </w:p>
    <w:p>
      <w:pPr>
        <w:pStyle w:val="ListParagraph"/>
        <w:numPr>
          <w:ilvl w:val="0"/>
          <w:numId w:val="2"/>
        </w:numPr>
        <w:spacing w:after="40" w:before="40"/>
      </w:pPr>
      <w:r>
        <w:rPr>
          <w:rFonts w:ascii="Arial" w:cs="Arial" w:eastAsia="Arial" w:hAnsi="Arial"/>
          <w:b w:val="false"/>
          <w:bCs w:val="false"/>
          <w:color w:val="0F172A"/>
          <w:sz w:val="21"/>
          <w:szCs w:val="21"/>
        </w:rPr>
        <w:t xml:space="preserve">Oracle Eloqua is the B2B marketing automation platform — campaign design, audience segmentation, multi-channel execution (email, SMS, push), and engagement tracking all in one place.</w:t>
      </w:r>
    </w:p>
    <w:p>
      <w:pPr>
        <w:pStyle w:val="ListParagraph"/>
        <w:numPr>
          <w:ilvl w:val="0"/>
          <w:numId w:val="2"/>
        </w:numPr>
        <w:spacing w:after="40" w:before="40"/>
      </w:pPr>
      <w:r>
        <w:rPr>
          <w:rFonts w:ascii="Arial" w:cs="Arial" w:eastAsia="Arial" w:hAnsi="Arial"/>
          <w:b w:val="false"/>
          <w:bCs w:val="false"/>
          <w:color w:val="0F172A"/>
          <w:sz w:val="21"/>
          <w:szCs w:val="21"/>
        </w:rPr>
        <w:t xml:space="preserve">Journey Builder shows the full multi-touch nurture path: entry → email 1 → open/no-open branch → email 2 → intent score check → sales handoff. Visual, no-code, drag and drop.</w:t>
      </w:r>
    </w:p>
    <w:p>
      <w:pPr>
        <w:pStyle w:val="ListParagraph"/>
        <w:numPr>
          <w:ilvl w:val="0"/>
          <w:numId w:val="2"/>
        </w:numPr>
        <w:spacing w:after="40" w:before="40"/>
      </w:pPr>
      <w:r>
        <w:rPr>
          <w:rFonts w:ascii="Arial" w:cs="Arial" w:eastAsia="Arial" w:hAnsi="Arial"/>
          <w:b w:val="false"/>
          <w:bCs w:val="false"/>
          <w:color w:val="0F172A"/>
          <w:sz w:val="21"/>
          <w:szCs w:val="21"/>
        </w:rPr>
        <w:t xml:space="preserve">Lead Scoring model combines profile fit (title, industry, company size = 40 pts) with behavioral engagement (opens, clicks, website, webinar = 60 pts). MQL threshold is configurable.</w:t>
      </w:r>
    </w:p>
    <w:p>
      <w:pPr>
        <w:pStyle w:val="ListParagraph"/>
        <w:numPr>
          <w:ilvl w:val="0"/>
          <w:numId w:val="2"/>
        </w:numPr>
        <w:spacing w:after="40" w:before="40"/>
      </w:pPr>
      <w:r>
        <w:rPr>
          <w:rFonts w:ascii="Arial" w:cs="Arial" w:eastAsia="Arial" w:hAnsi="Arial"/>
          <w:b w:val="false"/>
          <w:bCs w:val="false"/>
          <w:color w:val="0F172A"/>
          <w:sz w:val="21"/>
          <w:szCs w:val="21"/>
        </w:rPr>
        <w:t xml:space="preserve">When a contact hits the MQL score (default 75), Eloqua automatically creates a Lead in Oracle Sales Cloud, assigns it to the correct territory rep, and fires a rep notification — zero manual handoff.</w:t>
      </w:r>
    </w:p>
    <w:p>
      <w:pPr>
        <w:pStyle w:val="ListParagraph"/>
        <w:numPr>
          <w:ilvl w:val="0"/>
          <w:numId w:val="2"/>
        </w:numPr>
        <w:spacing w:after="40" w:before="40"/>
      </w:pPr>
      <w:r>
        <w:rPr>
          <w:rFonts w:ascii="Arial" w:cs="Arial" w:eastAsia="Arial" w:hAnsi="Arial"/>
          <w:b w:val="false"/>
          <w:bCs w:val="false"/>
          <w:color w:val="0F172A"/>
          <w:sz w:val="21"/>
          <w:szCs w:val="21"/>
        </w:rPr>
        <w:t xml:space="preserve">Audience segmentation from Oracle CDP: filter by industry, title, geography, intent score, last engagement date — build a precise segment in minutes, not hours.</w:t>
      </w:r>
    </w:p>
    <w:p>
      <w:pPr>
        <w:pStyle w:val="ListParagraph"/>
        <w:numPr>
          <w:ilvl w:val="0"/>
          <w:numId w:val="2"/>
        </w:numPr>
        <w:spacing w:after="40" w:before="40"/>
      </w:pPr>
      <w:r>
        <w:rPr>
          <w:rFonts w:ascii="Arial" w:cs="Arial" w:eastAsia="Arial" w:hAnsi="Arial"/>
          <w:b w:val="false"/>
          <w:bCs w:val="false"/>
          <w:color w:val="0F172A"/>
          <w:sz w:val="21"/>
          <w:szCs w:val="21"/>
        </w:rPr>
        <w:t xml:space="preserve">Campaign performance: open rate, click rate, MQLs generated, cost per MQL — all in one dashboard. Drill into any email to see individual contact engagement.</w:t>
      </w:r>
    </w:p>
    <w:p>
      <w:pPr>
        <w:spacing w:after="0" w:before="0"/>
      </w:pPr>
      <w:r>
        <w:t xml:space="preserve"/>
      </w:r>
    </w:p>
    <w:p>
      <w:pPr>
        <w:pStyle w:val="Heading3"/>
      </w:pPr>
      <w:r>
        <w:t xml:space="preserve">cx_lead.html — MQL → Lead Handoff</w:t>
      </w:r>
    </w:p>
    <w:p>
      <w:pPr>
        <w:pStyle w:val="ListParagraph"/>
        <w:numPr>
          <w:ilvl w:val="0"/>
          <w:numId w:val="2"/>
        </w:numPr>
        <w:spacing w:after="40" w:before="40"/>
      </w:pPr>
      <w:r>
        <w:rPr>
          <w:rFonts w:ascii="Arial" w:cs="Arial" w:eastAsia="Arial" w:hAnsi="Arial"/>
          <w:b w:val="false"/>
          <w:bCs w:val="false"/>
          <w:color w:val="0F172A"/>
          <w:sz w:val="21"/>
          <w:szCs w:val="21"/>
        </w:rPr>
        <w:t xml:space="preserve">When Eloqua hands off an MQL, the lead arrives in Sales Cloud pre-scored, pre-routed to the correct territory, and pre-loaded with campaign history — the rep knows exactly where this person came from and what they engaged with.</w:t>
      </w:r>
    </w:p>
    <w:p>
      <w:pPr>
        <w:pStyle w:val="ListParagraph"/>
        <w:numPr>
          <w:ilvl w:val="0"/>
          <w:numId w:val="2"/>
        </w:numPr>
        <w:spacing w:after="40" w:before="40"/>
      </w:pPr>
      <w:r>
        <w:rPr>
          <w:rFonts w:ascii="Arial" w:cs="Arial" w:eastAsia="Arial" w:hAnsi="Arial"/>
          <w:b w:val="false"/>
          <w:bCs w:val="false"/>
          <w:color w:val="0F172A"/>
          <w:sz w:val="21"/>
          <w:szCs w:val="21"/>
        </w:rPr>
        <w:t xml:space="preserve">AI Lead Score (0–100) blends the Eloqua engagement score with Sales Cloud fit signals — the rep sees a single score, not two separate systems.</w:t>
      </w:r>
    </w:p>
    <w:p>
      <w:pPr>
        <w:pStyle w:val="ListParagraph"/>
        <w:numPr>
          <w:ilvl w:val="0"/>
          <w:numId w:val="2"/>
        </w:numPr>
        <w:spacing w:after="40" w:before="40"/>
      </w:pPr>
      <w:r>
        <w:rPr>
          <w:rFonts w:ascii="Arial" w:cs="Arial" w:eastAsia="Arial" w:hAnsi="Arial"/>
          <w:b w:val="false"/>
          <w:bCs w:val="false"/>
          <w:color w:val="0F172A"/>
          <w:sz w:val="21"/>
          <w:szCs w:val="21"/>
        </w:rPr>
        <w:t xml:space="preserve">Smart Actions surface immediately: the system recommends "Send Email — reference the Q1 Utility Summit content they engaged with" as the first action, personalized to their campaign touchpoints.</w:t>
      </w:r>
    </w:p>
    <w:p>
      <w:pPr>
        <w:pStyle w:val="ListParagraph"/>
        <w:numPr>
          <w:ilvl w:val="0"/>
          <w:numId w:val="2"/>
        </w:numPr>
        <w:spacing w:after="40" w:before="40"/>
      </w:pPr>
      <w:r>
        <w:rPr>
          <w:rFonts w:ascii="Arial" w:cs="Arial" w:eastAsia="Arial" w:hAnsi="Arial"/>
          <w:b w:val="false"/>
          <w:bCs w:val="false"/>
          <w:color w:val="0F172A"/>
          <w:sz w:val="21"/>
          <w:szCs w:val="21"/>
        </w:rPr>
        <w:t xml:space="preserve">Activity timeline captures the entire marketing journey: every email open, click, webinar registration — all visible to the rep before they make the first call.</w:t>
      </w:r>
    </w:p>
    <w:p>
      <w:pPr>
        <w:spacing w:after="0" w:before="0"/>
      </w:pPr>
      <w:r>
        <w:t xml:space="preserve"/>
      </w:r>
    </w:p>
    <w:p>
      <w:pPr>
        <w:pStyle w:val="Heading3"/>
      </w:pPr>
      <w:r>
        <w:t xml:space="preserve">cx_opportunity.html — Campaign Attribution</w:t>
      </w:r>
    </w:p>
    <w:p>
      <w:pPr>
        <w:pStyle w:val="ListParagraph"/>
        <w:numPr>
          <w:ilvl w:val="0"/>
          <w:numId w:val="2"/>
        </w:numPr>
        <w:spacing w:after="40" w:before="40"/>
      </w:pPr>
      <w:r>
        <w:rPr>
          <w:rFonts w:ascii="Arial" w:cs="Arial" w:eastAsia="Arial" w:hAnsi="Arial"/>
          <w:b w:val="false"/>
          <w:bCs w:val="false"/>
          <w:color w:val="0F172A"/>
          <w:sz w:val="21"/>
          <w:szCs w:val="21"/>
        </w:rPr>
        <w:t xml:space="preserve">Every opportunity carries its originating campaign: "Source: Q4 Utility Summit — Eloqua campaign CMP-2024-Q4-UTL." Marketing can see their pipeline contribution in real time.</w:t>
      </w:r>
    </w:p>
    <w:p>
      <w:pPr>
        <w:pStyle w:val="ListParagraph"/>
        <w:numPr>
          <w:ilvl w:val="0"/>
          <w:numId w:val="2"/>
        </w:numPr>
        <w:spacing w:after="40" w:before="40"/>
      </w:pPr>
      <w:r>
        <w:rPr>
          <w:rFonts w:ascii="Arial" w:cs="Arial" w:eastAsia="Arial" w:hAnsi="Arial"/>
          <w:b w:val="false"/>
          <w:bCs w:val="false"/>
          <w:color w:val="0F172A"/>
          <w:sz w:val="21"/>
          <w:szCs w:val="21"/>
        </w:rPr>
        <w:t xml:space="preserve">Multi-touch attribution: Oracle tracks every campaign touch across the journey — not just first-touch or last-touch. Marketing gets credit for every influence.</w:t>
      </w:r>
    </w:p>
    <w:p>
      <w:pPr>
        <w:pStyle w:val="ListParagraph"/>
        <w:numPr>
          <w:ilvl w:val="0"/>
          <w:numId w:val="2"/>
        </w:numPr>
        <w:spacing w:after="40" w:before="40"/>
      </w:pPr>
      <w:r>
        <w:rPr>
          <w:rFonts w:ascii="Arial" w:cs="Arial" w:eastAsia="Arial" w:hAnsi="Arial"/>
          <w:b w:val="false"/>
          <w:bCs w:val="false"/>
          <w:color w:val="0F172A"/>
          <w:sz w:val="21"/>
          <w:szCs w:val="21"/>
        </w:rPr>
        <w:t xml:space="preserve">Marketing can see deal progress on their sourced opportunities: stage, amount, close date — no more black box after the MQL handoff.</w:t>
      </w:r>
    </w:p>
    <w:p>
      <w:pPr>
        <w:spacing w:after="0" w:before="0"/>
      </w:pPr>
      <w:r>
        <w:t xml:space="preserve"/>
      </w:r>
    </w:p>
    <w:p>
      <w:pPr>
        <w:pStyle w:val="Heading3"/>
      </w:pPr>
      <w:r>
        <w:t xml:space="preserve">analytics.html — Marketing-to-Revenue Attribution</w:t>
      </w:r>
    </w:p>
    <w:p>
      <w:pPr>
        <w:pStyle w:val="ListParagraph"/>
        <w:numPr>
          <w:ilvl w:val="0"/>
          <w:numId w:val="2"/>
        </w:numPr>
        <w:spacing w:after="40" w:before="40"/>
      </w:pPr>
      <w:r>
        <w:rPr>
          <w:rFonts w:ascii="Arial" w:cs="Arial" w:eastAsia="Arial" w:hAnsi="Arial"/>
          <w:b w:val="false"/>
          <w:bCs w:val="false"/>
          <w:color w:val="0F172A"/>
          <w:sz w:val="21"/>
          <w:szCs w:val="21"/>
        </w:rPr>
        <w:t xml:space="preserve">Revenue attribution waterfall: Contacts Reached → Engaged → MQL → SQL → Opportunity → Won. See conversion rates at every stage — find your biggest drop-off and fix it.</w:t>
      </w:r>
    </w:p>
    <w:p>
      <w:pPr>
        <w:pStyle w:val="ListParagraph"/>
        <w:numPr>
          <w:ilvl w:val="0"/>
          <w:numId w:val="2"/>
        </w:numPr>
        <w:spacing w:after="40" w:before="40"/>
      </w:pPr>
      <w:r>
        <w:rPr>
          <w:rFonts w:ascii="Arial" w:cs="Arial" w:eastAsia="Arial" w:hAnsi="Arial"/>
          <w:b w:val="false"/>
          <w:bCs w:val="false"/>
          <w:color w:val="0F172A"/>
          <w:sz w:val="21"/>
          <w:szCs w:val="21"/>
        </w:rPr>
        <w:t xml:space="preserve">Campaign ROI: cost per MQL, cost per SQL, cost per deal — which campaigns generate the most revenue per dollar spent?</w:t>
      </w:r>
    </w:p>
    <w:p>
      <w:pPr>
        <w:pStyle w:val="ListParagraph"/>
        <w:numPr>
          <w:ilvl w:val="0"/>
          <w:numId w:val="2"/>
        </w:numPr>
        <w:spacing w:after="40" w:before="40"/>
      </w:pPr>
      <w:r>
        <w:rPr>
          <w:rFonts w:ascii="Arial" w:cs="Arial" w:eastAsia="Arial" w:hAnsi="Arial"/>
          <w:b w:val="false"/>
          <w:bCs w:val="false"/>
          <w:color w:val="0F172A"/>
          <w:sz w:val="21"/>
          <w:szCs w:val="21"/>
        </w:rPr>
        <w:t xml:space="preserve">Content performance: which emails, which landing pages, which webinars drive the highest MQL conversion — invest in what works.</w:t>
      </w:r>
    </w:p>
    <w:p>
      <w:pPr>
        <w:pStyle w:val="ListParagraph"/>
        <w:numPr>
          <w:ilvl w:val="0"/>
          <w:numId w:val="2"/>
        </w:numPr>
        <w:spacing w:after="40" w:before="40"/>
      </w:pPr>
      <w:r>
        <w:rPr>
          <w:rFonts w:ascii="Arial" w:cs="Arial" w:eastAsia="Arial" w:hAnsi="Arial"/>
          <w:b w:val="false"/>
          <w:bCs w:val="false"/>
          <w:color w:val="0F172A"/>
          <w:sz w:val="21"/>
          <w:szCs w:val="21"/>
        </w:rPr>
        <w:t xml:space="preserve">Marketing-influenced pipeline: every deal that had at least one marketing touch is flagged — CMO can show the board the total pipeline marketing influenced, not just sourced.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8FF" w:val="clear"/>
            <w:tcMar>
              <w:top w:type="dxa" w:w="100"/>
              <w:left w:type="dxa" w:w="200"/>
              <w:bottom w:type="dxa" w:w="100"/>
              <w:right w:type="dxa" w:w="200"/>
            </w:tcMar>
          </w:tcPr>
          <w:p>
            <w:r>
              <w:rPr>
                <w:rFonts w:ascii="Arial" w:cs="Arial" w:eastAsia="Arial" w:hAnsi="Arial"/>
                <w:b/>
                <w:bCs/>
                <w:caps/>
                <w:color w:val="7C3AED"/>
                <w:spacing w:val="20"/>
                <w:sz w:val="20"/>
                <w:szCs w:val="20"/>
              </w:rPr>
              <w:t xml:space="preserve">Discovery Questions to Ask</w:t>
            </w:r>
          </w:p>
        </w:tc>
      </w:tr>
    </w:tbl>
    <w:p>
      <w:pPr>
        <w:spacing w:after="0" w:before="0"/>
      </w:pPr>
      <w:r>
        <w:t xml:space="preserve"/>
      </w:r>
    </w:p>
    <w:p>
      <w:pPr>
        <w:pStyle w:val="ListParagraph"/>
        <w:numPr>
          <w:ilvl w:val="0"/>
          <w:numId w:val="3"/>
        </w:numPr>
        <w:spacing w:after="40" w:before="40"/>
      </w:pPr>
      <w:r>
        <w:rPr>
          <w:rFonts w:ascii="Arial" w:cs="Arial" w:eastAsia="Arial" w:hAnsi="Arial"/>
          <w:b w:val="false"/>
          <w:bCs w:val="false"/>
          <w:color w:val="0F172A"/>
          <w:sz w:val="21"/>
          <w:szCs w:val="21"/>
        </w:rPr>
        <w:t xml:space="preserve">What's your current MQL-to-SQL conversion rate — and how do you track what happens to MQLs after sales takes them?</w:t>
      </w:r>
    </w:p>
    <w:p>
      <w:pPr>
        <w:pStyle w:val="ListParagraph"/>
        <w:numPr>
          <w:ilvl w:val="0"/>
          <w:numId w:val="3"/>
        </w:numPr>
        <w:spacing w:after="40" w:before="40"/>
      </w:pPr>
      <w:r>
        <w:rPr>
          <w:rFonts w:ascii="Arial" w:cs="Arial" w:eastAsia="Arial" w:hAnsi="Arial"/>
          <w:b w:val="false"/>
          <w:bCs w:val="false"/>
          <w:color w:val="0F172A"/>
          <w:sz w:val="21"/>
          <w:szCs w:val="21"/>
        </w:rPr>
        <w:t xml:space="preserve">How is lead scoring defined today — and does sales agree with the definition of a "qualified" lead?</w:t>
      </w:r>
    </w:p>
    <w:p>
      <w:pPr>
        <w:pStyle w:val="ListParagraph"/>
        <w:numPr>
          <w:ilvl w:val="0"/>
          <w:numId w:val="3"/>
        </w:numPr>
        <w:spacing w:after="40" w:before="40"/>
      </w:pPr>
      <w:r>
        <w:rPr>
          <w:rFonts w:ascii="Arial" w:cs="Arial" w:eastAsia="Arial" w:hAnsi="Arial"/>
          <w:b w:val="false"/>
          <w:bCs w:val="false"/>
          <w:color w:val="0F172A"/>
          <w:sz w:val="21"/>
          <w:szCs w:val="21"/>
        </w:rPr>
        <w:t xml:space="preserve">How many days on average from MQL creation to first sales touch? What's the acceptable SLA?</w:t>
      </w:r>
    </w:p>
    <w:p>
      <w:pPr>
        <w:pStyle w:val="ListParagraph"/>
        <w:numPr>
          <w:ilvl w:val="0"/>
          <w:numId w:val="3"/>
        </w:numPr>
        <w:spacing w:after="40" w:before="40"/>
      </w:pPr>
      <w:r>
        <w:rPr>
          <w:rFonts w:ascii="Arial" w:cs="Arial" w:eastAsia="Arial" w:hAnsi="Arial"/>
          <w:b w:val="false"/>
          <w:bCs w:val="false"/>
          <w:color w:val="0F172A"/>
          <w:sz w:val="21"/>
          <w:szCs w:val="21"/>
        </w:rPr>
        <w:t xml:space="preserve">Which channels drive the most pipeline today — and how confident are you in that attribution?</w:t>
      </w:r>
    </w:p>
    <w:p>
      <w:pPr>
        <w:pStyle w:val="ListParagraph"/>
        <w:numPr>
          <w:ilvl w:val="0"/>
          <w:numId w:val="3"/>
        </w:numPr>
        <w:spacing w:after="40" w:before="40"/>
      </w:pPr>
      <w:r>
        <w:rPr>
          <w:rFonts w:ascii="Arial" w:cs="Arial" w:eastAsia="Arial" w:hAnsi="Arial"/>
          <w:b w:val="false"/>
          <w:bCs w:val="false"/>
          <w:color w:val="0F172A"/>
          <w:sz w:val="21"/>
          <w:szCs w:val="21"/>
        </w:rPr>
        <w:t xml:space="preserve">When a campaign underperforms, how quickly can you see it and adjust?</w:t>
      </w:r>
    </w:p>
    <w:p>
      <w:pPr>
        <w:pStyle w:val="ListParagraph"/>
        <w:numPr>
          <w:ilvl w:val="0"/>
          <w:numId w:val="3"/>
        </w:numPr>
        <w:spacing w:after="40" w:before="40"/>
      </w:pPr>
      <w:r>
        <w:rPr>
          <w:rFonts w:ascii="Arial" w:cs="Arial" w:eastAsia="Arial" w:hAnsi="Arial"/>
          <w:b w:val="false"/>
          <w:bCs w:val="false"/>
          <w:color w:val="0F172A"/>
          <w:sz w:val="21"/>
          <w:szCs w:val="21"/>
        </w:rPr>
        <w:t xml:space="preserve">How do you currently prove marketing's contribution to revenue to the CFO and board?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00"/>
              <w:left w:type="dxa" w:w="200"/>
              <w:bottom w:type="dxa" w:w="100"/>
              <w:right w:type="dxa" w:w="200"/>
            </w:tcMar>
          </w:tcPr>
          <w:p>
            <w:r>
              <w:rPr>
                <w:rFonts w:ascii="Arial" w:cs="Arial" w:eastAsia="Arial" w:hAnsi="Arial"/>
                <w:b/>
                <w:bCs/>
                <w:caps/>
                <w:color w:val="DC2626"/>
                <w:spacing w:val="20"/>
                <w:sz w:val="20"/>
                <w:szCs w:val="20"/>
              </w:rPr>
              <w:t xml:space="preserve">Common Objections &amp; Responses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r>
              <w:rPr>
                <w:rFonts w:ascii="Arial" w:cs="Arial" w:eastAsia="Arial" w:hAnsi="Arial"/>
                <w:b/>
                <w:bCs/>
                <w:color w:val="DC2626"/>
                <w:sz w:val="20"/>
                <w:szCs w:val="20"/>
              </w:rPr>
              <w:t xml:space="preserve">Objection</w:t>
            </w:r>
          </w:p>
        </w:tc>
        <w:tc>
          <w:tcPr>
            <w:tcW w:type="dxa" w:w="536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r>
              <w:rPr>
                <w:rFonts w:ascii="Arial" w:cs="Arial" w:eastAsia="Arial" w:hAnsi="Arial"/>
                <w:b/>
                <w:bCs/>
                <w:color w:val="DC2626"/>
                <w:sz w:val="20"/>
                <w:szCs w:val="20"/>
              </w:rPr>
              <w:t xml:space="preserve">Response</w:t>
            </w:r>
          </w:p>
        </w:tc>
      </w:tr>
      <w:tr>
        <w:tc>
          <w:tcPr>
            <w:tcW w:type="dxa" w:w="40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tcPr>
          <w:p>
            <w:r>
              <w:rPr>
                <w:rFonts w:ascii="Arial" w:cs="Arial" w:eastAsia="Arial" w:hAnsi="Arial"/>
                <w:i/>
                <w:iCs/>
                <w:color w:val="0F172A"/>
                <w:sz w:val="20"/>
                <w:szCs w:val="20"/>
              </w:rPr>
              <w:t xml:space="preserve">We're already using HubSpot / Marketo.</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Oracle Eloqua is purpose-built for enterprise B2B — account-based marketing, complex scoring models, and ERP-connected revenue attribution. If you're happy with HubSpot for SMB-style campaigns but need enterprise ABM, Eloqua is the upgrade. We can integrate Eloqua with Oracle CX Sales Cloud while you evaluate.</w:t>
            </w:r>
          </w:p>
        </w:tc>
      </w:tr>
      <w:tr>
        <w:tc>
          <w:tcPr>
            <w:tcW w:type="dxa" w:w="40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tcPr>
          <w:p>
            <w:r>
              <w:rPr>
                <w:rFonts w:ascii="Arial" w:cs="Arial" w:eastAsia="Arial" w:hAnsi="Arial"/>
                <w:i/>
                <w:iCs/>
                <w:color w:val="0F172A"/>
                <w:sz w:val="20"/>
                <w:szCs w:val="20"/>
              </w:rPr>
              <w:t xml:space="preserve">Sales never follows up on our MQLs anyway.</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That's exactly the problem Oracle CX solves at the integration point — MQLs arrive in Sales Cloud pre-scored, pre-assigned, and with a Smart Action surfaced by AI. The rep gets an alert, a recommended first action, and the full campaign history. We can also build SLA reporting: if a rep doesn't touch an MQL within 24 hours, the manager gets flagged.</w:t>
            </w:r>
          </w:p>
        </w:tc>
      </w:tr>
      <w:tr>
        <w:tc>
          <w:tcPr>
            <w:tcW w:type="dxa" w:w="40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tcPr>
          <w:p>
            <w:r>
              <w:rPr>
                <w:rFonts w:ascii="Arial" w:cs="Arial" w:eastAsia="Arial" w:hAnsi="Arial"/>
                <w:i/>
                <w:iCs/>
                <w:color w:val="0F172A"/>
                <w:sz w:val="20"/>
                <w:szCs w:val="20"/>
              </w:rPr>
              <w:t xml:space="preserve">We can't prove marketing ROI with our current setup.</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Correct — and you won't be able to without bi-directional Eloqua↔CRM integration. Oracle is the only vendor where the marketing platform and CRM are native to the same data model. Attribution is built in, not bolted on.</w:t>
            </w:r>
          </w:p>
        </w:tc>
      </w:tr>
      <w:tr>
        <w:tc>
          <w:tcPr>
            <w:tcW w:type="dxa" w:w="40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tcPr>
          <w:p>
            <w:r>
              <w:rPr>
                <w:rFonts w:ascii="Arial" w:cs="Arial" w:eastAsia="Arial" w:hAnsi="Arial"/>
                <w:i/>
                <w:iCs/>
                <w:color w:val="0F172A"/>
                <w:sz w:val="20"/>
                <w:szCs w:val="20"/>
              </w:rPr>
              <w:t xml:space="preserve">Implementing Eloqua sounds like a big project.</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Eloqua implementation for a focused campaign program is 8–12 weeks with Argano's accelerator. We start with your top 3 campaign types, build the scoring model with your sales ops team, and go live. Phase 2 adds advanced journey automation. You see results within the first quarter.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C3" w:val="clear"/>
            <w:tcMar>
              <w:top w:type="dxa" w:w="100"/>
              <w:left w:type="dxa" w:w="200"/>
              <w:bottom w:type="dxa" w:w="100"/>
              <w:right w:type="dxa" w:w="200"/>
            </w:tcMar>
          </w:tcPr>
          <w:p>
            <w:r>
              <w:rPr>
                <w:rFonts w:ascii="Arial" w:cs="Arial" w:eastAsia="Arial" w:hAnsi="Arial"/>
                <w:b/>
                <w:bCs/>
                <w:caps/>
                <w:color w:val="92400E"/>
                <w:spacing w:val="20"/>
                <w:sz w:val="20"/>
                <w:szCs w:val="20"/>
              </w:rPr>
              <w:t xml:space="preserve">Closing Move &amp; Call to Action</w:t>
            </w:r>
          </w:p>
        </w:tc>
      </w:tr>
    </w:tbl>
    <w:p>
      <w:pPr>
        <w:spacing w:after="0" w:before="0"/>
      </w:pPr>
      <w:r>
        <w:t xml:space="preserve"/>
      </w:r>
    </w:p>
    <w:p>
      <w:pPr>
        <w:spacing w:after="60" w:before="60"/>
        <w:jc w:val="left"/>
      </w:pPr>
      <w:r>
        <w:rPr>
          <w:rFonts w:ascii="Arial" w:cs="Arial" w:eastAsia="Arial" w:hAnsi="Arial"/>
          <w:b/>
          <w:bCs/>
          <w:color w:val="FF7A18"/>
          <w:sz w:val="22"/>
          <w:szCs w:val="22"/>
        </w:rPr>
        <w:t xml:space="preserve">Closing Move: </w:t>
      </w:r>
      <w:r>
        <w:rPr>
          <w:rFonts w:ascii="Arial" w:cs="Arial" w:eastAsia="Arial" w:hAnsi="Arial"/>
          <w:color w:val="0F172A"/>
          <w:sz w:val="22"/>
          <w:szCs w:val="22"/>
        </w:rPr>
        <w:t xml:space="preserve">Ask the CMO what their current cost per MQL is and how much of their pipeline comes from marketing. Then say:</w:t>
      </w:r>
    </w:p>
    <w:p>
      <w:pPr>
        <w:spacing w:after="60" w:before="60"/>
        <w:jc w:val="left"/>
      </w:pPr>
      <w:r>
        <w:rPr>
          <w:rFonts w:ascii="Arial" w:cs="Arial" w:eastAsia="Arial" w:hAnsi="Arial"/>
          <w:i/>
          <w:iCs/>
          <w:color w:val="475569"/>
          <w:sz w:val="22"/>
          <w:szCs w:val="22"/>
        </w:rPr>
        <w:t xml:space="preserve">"I'd like to run a revenue attribution analysis on your last two quarters. You give me your campaign spend by channel and your pipeline data — I'll map it against the Oracle attribution model and show you what your true marketing-influenced pipeline looks like. Most CMOs are surprised by how much they're underreporting. Interested?"</w:t>
      </w:r>
    </w:p>
    <w:p>
      <w:pPr>
        <w:spacing w:after="0" w:before="0"/>
      </w:pPr>
      <w:r>
        <w:t xml:space="preserve"/>
      </w:r>
    </w:p>
    <w:p>
      <w:pPr>
        <w:spacing w:after="0" w:before="0"/>
      </w:pPr>
      <w:r>
        <w:t xml:space="preserve"/>
      </w:r>
    </w:p>
    <w:p>
      <w:r>
        <w:br w:type="page"/>
      </w:r>
    </w:p>
    <w:p>
      <w:pPr>
        <w:pStyle w:val="Heading1"/>
      </w:pPr>
      <w:r>
        <w:t xml:space="preserve">Appendix: Demo Screen Reference</w:t>
      </w:r>
    </w:p>
    <w:p>
      <w:pPr>
        <w:pBdr>
          <w:bottom w:val="single" w:color="E2E8F0" w:sz="4" w:space="1"/>
        </w:pBdr>
        <w:spacing w:after="120" w:before="120"/>
      </w:pPr>
      <w:r>
        <w:t xml:space="preserve"/>
      </w:r>
    </w:p>
    <w:p>
      <w:pPr>
        <w:spacing w:after="60" w:before="60"/>
        <w:jc w:val="left"/>
      </w:pPr>
      <w:r>
        <w:rPr>
          <w:rFonts w:ascii="Arial" w:cs="Arial" w:eastAsia="Arial" w:hAnsi="Arial"/>
          <w:b w:val="false"/>
          <w:bCs w:val="false"/>
          <w:i w:val="false"/>
          <w:iCs w:val="false"/>
          <w:color w:val="0F172A"/>
          <w:sz w:val="22"/>
          <w:szCs w:val="22"/>
        </w:rPr>
        <w:t xml:space="preserve">Quick reference for all screens in the OracleCXMocks demo environment: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c>
          <w:tcPr>
            <w:tcW w:type="dxa" w:w="3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21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Lead Management</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cx_lead.html</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9"/>
                <w:szCs w:val="19"/>
              </w:rPr>
              <w:t xml:space="preserve">Sales VP, Sales Ops, Marketing</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Opportunity Management</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cx_opportunity.html</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9"/>
                <w:szCs w:val="19"/>
              </w:rPr>
              <w:t xml:space="preserve">Sales VP, CRO, IT Director</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CPQ Quote Builder</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cpq_quote_builder.html</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9"/>
                <w:szCs w:val="19"/>
              </w:rPr>
              <w:t xml:space="preserve">Sales VP, CFO, IT Director</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Subscription Lifecycle</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subscription_lifecycle.html</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9"/>
                <w:szCs w:val="19"/>
              </w:rPr>
              <w:t xml:space="preserve">CFO, IT Director, Sales Ops</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Service Case Management</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cx_service_case.html</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9"/>
                <w:szCs w:val="19"/>
              </w:rPr>
              <w:t xml:space="preserve">IT Director, Customer Success</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ICM Compensation</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icm_compensation.html</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9"/>
                <w:szCs w:val="19"/>
              </w:rPr>
              <w:t xml:space="preserve">CFO, Sales Ops, Sales VP</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Marketing Orchestration</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marketing_orchestration.html</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9"/>
                <w:szCs w:val="19"/>
              </w:rPr>
              <w:t xml:space="preserve">CMO, Marketing Director</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Forecasting &amp; Pipeline</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forecasting_pipeline.html</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9"/>
                <w:szCs w:val="19"/>
              </w:rPr>
              <w:t xml:space="preserve">Sales VP, CRO, Sales Ops</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Analytics Dashboard</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analytics.html</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9"/>
                <w:szCs w:val="19"/>
              </w:rPr>
              <w:t xml:space="preserve">All personas</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Account 360</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account_360.html</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9"/>
                <w:szCs w:val="19"/>
              </w:rPr>
              <w:t xml:space="preserve">Sales VP, IT Director</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Integration Features</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integration_features.html</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9"/>
                <w:szCs w:val="19"/>
              </w:rPr>
              <w:t xml:space="preserve">IT Director, CIO</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Executive Command Center</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executive_command_center.html</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9"/>
                <w:szCs w:val="19"/>
              </w:rPr>
              <w:t xml:space="preserve">CRO, CFO, CEO</w:t>
            </w:r>
          </w:p>
        </w:tc>
      </w:tr>
    </w:tbl>
    <w:p>
      <w:pPr>
        <w:spacing w:after="0" w:before="0"/>
      </w:pPr>
      <w:r>
        <w:t xml:space="preserve"/>
      </w:r>
    </w:p>
    <w:p>
      <w:pPr>
        <w:spacing w:after="0" w:before="0"/>
      </w:pPr>
      <w:r>
        <w:t xml:space="preserve"/>
      </w:r>
    </w:p>
    <w:p>
      <w:pPr>
        <w:pBdr>
          <w:bottom w:val="single" w:color="E2E8F0" w:sz="4" w:space="1"/>
        </w:pBdr>
        <w:spacing w:after="120" w:before="120"/>
      </w:pPr>
      <w:r>
        <w:t xml:space="preserve"/>
      </w:r>
    </w:p>
    <w:p>
      <w:pPr>
        <w:spacing w:after="0" w:before="120"/>
        <w:jc w:val="center"/>
      </w:pPr>
      <w:r>
        <w:rPr>
          <w:rFonts w:ascii="Arial" w:cs="Arial" w:eastAsia="Arial" w:hAnsi="Arial"/>
          <w:i/>
          <w:iCs/>
          <w:color w:val="475569"/>
          <w:sz w:val="18"/>
          <w:szCs w:val="18"/>
        </w:rPr>
        <w:t xml:space="preserve">Argano · Oracle CX Practice · Confidential — For Internal Use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jc w:val="center"/>
    </w:pPr>
    <w:r>
      <w:rPr>
        <w:rFonts w:ascii="Arial" w:cs="Arial" w:eastAsia="Arial" w:hAnsi="Arial"/>
        <w:color w:val="475569"/>
        <w:sz w:val="18"/>
        <w:szCs w:val="18"/>
      </w:rPr>
      <w:t xml:space="preserve">Page </w:t>
    </w:r>
    <w:r>
      <w:rPr>
        <w:rFonts w:ascii="Arial" w:cs="Arial" w:eastAsia="Arial" w:hAnsi="Arial"/>
        <w:color w:val="475569"/>
        <w:sz w:val="18"/>
        <w:szCs w:val="18"/>
      </w:rPr>
      <w:fldChar w:fldCharType="begin"/>
      <w:instrText xml:space="preserve">PAGE</w:instrText>
      <w:fldChar w:fldCharType="separate"/>
      <w:fldChar w:fldCharType="end"/>
    </w:r>
    <w:r>
      <w:rPr>
        <w:rFonts w:ascii="Arial" w:cs="Arial" w:eastAsia="Arial" w:hAnsi="Arial"/>
        <w:color w:val="475569"/>
        <w:sz w:val="18"/>
        <w:szCs w:val="18"/>
      </w:rPr>
      <w:t xml:space="preserve"> of </w:t>
    </w:r>
    <w:r>
      <w:rPr>
        <w:rFonts w:ascii="Arial" w:cs="Arial" w:eastAsia="Arial" w:hAnsi="Arial"/>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1"/>
      </w:pBdr>
      <w:tabs>
        <w:tab w:val="right" w:pos="9360"/>
      </w:tabs>
    </w:pPr>
    <w:r>
      <w:rPr>
        <w:rFonts w:ascii="Arial" w:cs="Arial" w:eastAsia="Arial" w:hAnsi="Arial"/>
        <w:color w:val="475569"/>
        <w:sz w:val="18"/>
        <w:szCs w:val="18"/>
      </w:rPr>
      <w:t xml:space="preserve">Argano · Oracle CX Demo Playbook</w:t>
    </w:r>
    <w:r>
      <w:rPr>
        <w:rFonts w:ascii="Arial" w:cs="Arial" w:eastAsia="Arial" w:hAnsi="Arial"/>
        <w:b/>
        <w:bCs/>
        <w:color w:val="DC2626"/>
        <w:sz w:val="18"/>
        <w:szCs w:val="18"/>
      </w:rPr>
      <w:t xml:space="preserve">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F172A"/>
      <w:sz w:val="40"/>
      <w:szCs w:val="40"/>
    </w:rPr>
  </w:style>
  <w:style w:type="paragraph" w:styleId="Heading2">
    <w:name w:val="Heading 2"/>
    <w:basedOn w:val="Normal"/>
    <w:next w:val="Normal"/>
    <w:qFormat/>
    <w:pPr>
      <w:spacing w:after="120" w:before="240"/>
      <w:outlineLvl w:val="1"/>
    </w:pPr>
    <w:rPr>
      <w:rFonts w:ascii="Arial" w:cs="Arial" w:eastAsia="Arial" w:hAnsi="Arial"/>
      <w:b/>
      <w:bCs/>
      <w:color w:val="0F172A"/>
      <w:sz w:val="30"/>
      <w:szCs w:val="30"/>
    </w:rPr>
  </w:style>
  <w:style w:type="paragraph" w:styleId="Heading3">
    <w:name w:val="Heading 3"/>
    <w:basedOn w:val="Normal"/>
    <w:next w:val="Normal"/>
    <w:qFormat/>
    <w:pPr>
      <w:spacing w:after="80" w:before="180"/>
      <w:outlineLvl w:val="2"/>
    </w:pPr>
    <w:rPr>
      <w:rFonts w:ascii="Arial" w:cs="Arial" w:eastAsia="Arial" w:hAnsi="Arial"/>
      <w:b/>
      <w:bCs/>
      <w:color w:val="FF7A1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2026-05-15T21:52:10.324Z</dcterms:created>
  <dcterms:modified xsi:type="dcterms:W3CDTF">2026-05-15T21:52:10.324Z</dcterms:modified>
</cp:coreProperties>
</file>

<file path=docProps/custom.xml><?xml version="1.0" encoding="utf-8"?>
<Properties xmlns="http://schemas.openxmlformats.org/officeDocument/2006/custom-properties" xmlns:vt="http://schemas.openxmlformats.org/officeDocument/2006/docPropsVTypes"/>
</file>