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Life Care Plan Economic Projection</w:t>
      </w:r>
    </w:p>
    <w:p>
      <w:pPr>
        <w:pStyle w:val="Heading2"/>
        <w:jc w:val="center"/>
      </w:pPr>
      <w:r>
        <w:t>Evaluee: Enhanced Validation Test</w:t>
      </w:r>
    </w:p>
    <w:p>
      <w:r>
        <w:rPr>
          <w:b/>
        </w:rPr>
        <w:t xml:space="preserve">Report Generated: </w:t>
      </w:r>
      <w:r>
        <w:t>June 18, 2025 at 08:25:39</w:t>
        <w:br/>
      </w:r>
      <w:r>
        <w:rPr>
          <w:b/>
        </w:rPr>
        <w:t xml:space="preserve">Evaluee Age at Analysis Start: </w:t>
      </w:r>
      <w:r>
        <w:t>37.8 years old (in 2025)</w:t>
        <w:br/>
      </w:r>
      <w:r>
        <w:rPr>
          <w:b/>
        </w:rPr>
        <w:t xml:space="preserve">Analysis Period: </w:t>
      </w:r>
      <w:r>
        <w:t>39.4 years (2025 to 2063.4)</w:t>
        <w:br/>
      </w:r>
      <w:r>
        <w:rPr>
          <w:b/>
        </w:rPr>
        <w:t xml:space="preserve">Discount Rate Applied: </w:t>
      </w:r>
      <w:r>
        <w:t>3.5% annually</w:t>
        <w:br/>
      </w:r>
      <w:r>
        <w:rPr>
          <w:b/>
        </w:rPr>
        <w:t xml:space="preserve">Present Value Calculations: </w:t>
      </w:r>
      <w:r>
        <w:t>Enabled</w:t>
        <w:br/>
      </w:r>
      <w:r>
        <w:rPr>
          <w:b/>
        </w:rPr>
        <w:t xml:space="preserve">Service Categories Analyzed: </w:t>
      </w:r>
      <w:r>
        <w:t>3</w:t>
        <w:br/>
      </w:r>
      <w:r>
        <w:rPr>
          <w:b/>
        </w:rPr>
        <w:t xml:space="preserve">Total Individual Services: </w:t>
      </w:r>
      <w:r>
        <w:t>3</w:t>
      </w:r>
    </w:p>
    <w:p/>
    <w:p/>
    <w:p>
      <w:pPr>
        <w:pStyle w:val="Heading2"/>
      </w:pPr>
      <w:r>
        <w:t>Expert Methodology and Scientific Reliability Documentation</w:t>
      </w:r>
    </w:p>
    <w:p>
      <w:r>
        <w:rPr>
          <w:b/>
        </w:rPr>
        <w:t xml:space="preserve">Methodology and Scientific Basis: </w:t>
      </w:r>
      <w:r>
        <w:t xml:space="preserve">This life care plan economic projection employs established econometric principles and medical cost forecasting methodologies </w:t>
      </w:r>
      <w:r>
        <w:t xml:space="preserve">consistent with peer-reviewed literature in health economics and actuarial science. The analytical framework incorporates </w:t>
      </w:r>
      <w:r>
        <w:t xml:space="preserve">inflation modeling using compound annual growth rates, present value calculations using established discount rate theory, </w:t>
      </w:r>
      <w:r>
        <w:t>and frequency-based cost projections grounded in medical utilization standards.</w:t>
      </w:r>
    </w:p>
    <w:p/>
    <w:p>
      <w:r>
        <w:rPr>
          <w:b/>
        </w:rPr>
        <w:t xml:space="preserve">Reliability and Potential Error Rates: </w:t>
      </w:r>
      <w:r>
        <w:t xml:space="preserve">Economic projections are subject to inherent uncertainties in inflation rates, discount rates, and medical cost trends. </w:t>
      </w:r>
      <w:r>
        <w:t xml:space="preserve">Historical medical inflation rates typically range from 2-6% annually (Bureau of Labor Statistics, 2010-2024). </w:t>
      </w:r>
      <w:r>
        <w:t xml:space="preserve">Discount rate assumptions follow federal guidelines and economic standards (OMB Circular A-4, Federal Reserve data). </w:t>
      </w:r>
      <w:r>
        <w:t>Service frequency estimates are based on medical literature and clinical guidelines where available.</w:t>
      </w:r>
    </w:p>
    <w:p/>
    <w:p>
      <w:r>
        <w:rPr>
          <w:b/>
        </w:rPr>
        <w:t xml:space="preserve">General Acceptance in Relevant Scientific Community: </w:t>
      </w:r>
      <w:r>
        <w:t xml:space="preserve">Life care plan economic analysis methodologies are widely accepted in forensic economics, </w:t>
      </w:r>
      <w:r>
        <w:t xml:space="preserve">rehabilitation counseling, and medical-legal communities. Standards are established by: </w:t>
      </w:r>
      <w:r>
        <w:t xml:space="preserve">International Association of Rehabilitation Professionals (IARP), </w:t>
      </w:r>
      <w:r>
        <w:t xml:space="preserve">Commission on Health Care Certification (CHCC), </w:t>
      </w:r>
      <w:r>
        <w:t xml:space="preserve">National Association of Forensic Economics (NAFE), </w:t>
      </w:r>
      <w:r>
        <w:t xml:space="preserve">and peer-reviewed publications in Journal of Forensic Economics, </w:t>
      </w:r>
      <w:r>
        <w:t>Topics in Spinal Cord Injury Rehabilitation, and similar professional journals.</w:t>
      </w:r>
    </w:p>
    <w:p/>
    <w:p>
      <w:r>
        <w:rPr>
          <w:b/>
        </w:rPr>
        <w:t xml:space="preserve">Testing and Peer Review: </w:t>
      </w:r>
      <w:r>
        <w:t xml:space="preserve">The economic modeling techniques used in this analysis have been subject to extensive peer review </w:t>
      </w:r>
      <w:r>
        <w:t xml:space="preserve">through professional literature and court proceedings. Mathematical calculations follow established </w:t>
      </w:r>
      <w:r>
        <w:t xml:space="preserve">financial formulas for present value analysis (PV = FV / (1 + r)^n) and compound growth modeling </w:t>
      </w:r>
      <w:r>
        <w:t>(FV = PV × (1 + g)^n). All computational methods are reproducible and verifiable.</w:t>
      </w:r>
    </w:p>
    <w:p/>
    <w:p>
      <w:r>
        <w:rPr>
          <w:b/>
        </w:rPr>
        <w:t xml:space="preserve">Data Sources and Professional Standards: </w:t>
      </w:r>
      <w:r>
        <w:t xml:space="preserve">Cost estimates should be derived from reliable sources including: </w:t>
      </w:r>
      <w:r>
        <w:t xml:space="preserve">Medicare fee schedules, private insurance reimbursement rates, </w:t>
      </w:r>
      <w:r>
        <w:t xml:space="preserve">durable medical equipment vendor quotes, pharmaceutical pricing databases, </w:t>
      </w:r>
      <w:r>
        <w:t xml:space="preserve">and published medical literature. Service frequencies should reference </w:t>
      </w:r>
      <w:r>
        <w:t xml:space="preserve">evidence-based treatment protocols, clinical practice guidelines, </w:t>
      </w:r>
      <w:r>
        <w:t>and medical professional recommendations specific to the individual's condition.</w:t>
      </w:r>
    </w:p>
    <w:p/>
    <w:p>
      <w:r>
        <w:rPr>
          <w:b/>
        </w:rPr>
        <w:t xml:space="preserve">Expert Qualifications Framework: </w:t>
      </w:r>
      <w:r>
        <w:t xml:space="preserve">Life care plan economic analysis should be conducted by qualified professionals with: </w:t>
      </w:r>
      <w:r>
        <w:t xml:space="preserve">(1) Advanced education in economics, healthcare administration, or rehabilitation counseling; </w:t>
      </w:r>
      <w:r>
        <w:t xml:space="preserve">(2) Specialized training in life care planning methodology; </w:t>
      </w:r>
      <w:r>
        <w:t xml:space="preserve">(3) Professional certification (CRC, CLCP, CVE, or equivalent); </w:t>
      </w:r>
      <w:r>
        <w:t xml:space="preserve">(4) Experience with economic analysis and present value calculations; </w:t>
      </w:r>
      <w:r>
        <w:t>(5) Knowledge of relevant medical conditions and treatment standards.</w:t>
      </w:r>
    </w:p>
    <w:p/>
    <w:p>
      <w:r>
        <w:rPr>
          <w:b/>
        </w:rPr>
        <w:t xml:space="preserve">Limitations and Key Assumptions: </w:t>
      </w:r>
      <w:r>
        <w:t xml:space="preserve">This economic projection is based on current medical knowledge and economic conditions. </w:t>
      </w:r>
      <w:r>
        <w:t xml:space="preserve">Actual costs may vary due to: changes in medical technology, treatment protocols, </w:t>
      </w:r>
      <w:r>
        <w:t xml:space="preserve">economic conditions, geographic variations, insurance coverage changes, </w:t>
      </w:r>
      <w:r>
        <w:t xml:space="preserve">and individual medical developments. Inflation and discount rate assumptions </w:t>
      </w:r>
      <w:r>
        <w:t xml:space="preserve">represent reasonable estimates but are subject to economic volatility. </w:t>
      </w:r>
      <w:r>
        <w:t>Service frequencies assume stable medical condition and standard care protocols.</w:t>
      </w:r>
    </w:p>
    <w:p/>
    <w:p>
      <w:r>
        <w:rPr>
          <w:b/>
        </w:rPr>
        <w:t xml:space="preserve">Calculation Transparency and Reproducibility: </w:t>
      </w:r>
      <w:r>
        <w:t xml:space="preserve">All calculations in this report are fully documented and reproducible. </w:t>
      </w:r>
      <w:r>
        <w:t xml:space="preserve">Mathematical formulas, inflation rates, discount rates, and service frequencies </w:t>
      </w:r>
      <w:r>
        <w:t xml:space="preserve">are explicitly stated. Raw data inputs and computational methods are available </w:t>
      </w:r>
      <w:r>
        <w:t xml:space="preserve">for independent verification and cross-examination. Alternative scenarios </w:t>
      </w:r>
      <w:r>
        <w:t>and sensitivity analyses can be performed using different assumption sets.</w:t>
      </w:r>
    </w:p>
    <w:p/>
    <w:p>
      <w:r>
        <w:rPr>
          <w:b/>
        </w:rPr>
        <w:t xml:space="preserve">Legal and Professional Disclaimer: </w:t>
      </w:r>
      <w:r>
        <w:t xml:space="preserve">This economic analysis is prepared for legal proceedings and expert testimony purposes. </w:t>
      </w:r>
      <w:r>
        <w:t xml:space="preserve">The methodology and conclusions are offered to assist the trier of fact in understanding </w:t>
      </w:r>
      <w:r>
        <w:t xml:space="preserve">future medical care costs. All opinions are expressed within reasonable degree of </w:t>
      </w:r>
      <w:r>
        <w:t>professional certainty based on available data and established methodologies.</w:t>
      </w:r>
    </w:p>
    <w:p>
      <w:pPr>
        <w:pStyle w:val="Heading2"/>
      </w:pPr>
      <w:r>
        <w:t>Mathematical Formulas and Calculation Methods</w:t>
      </w:r>
    </w:p>
    <w:p>
      <w:r>
        <w:rPr>
          <w:b/>
        </w:rPr>
        <w:t xml:space="preserve">Inflation Adjustment Formula: </w:t>
      </w:r>
      <w:r>
        <w:t>Future Cost = Present Cost × (1 + inflation_rate)^years_from_base</w:t>
      </w:r>
    </w:p>
    <w:p/>
    <w:p>
      <w:r>
        <w:rPr>
          <w:b/>
        </w:rPr>
        <w:t xml:space="preserve">Present Value Formula: </w:t>
      </w:r>
      <w:r>
        <w:t>Present Value = Future Value ÷ (1 + discount_rate)^years_from_base</w:t>
      </w:r>
    </w:p>
    <w:p/>
    <w:p>
      <w:r>
        <w:rPr>
          <w:b/>
        </w:rPr>
        <w:t xml:space="preserve">Annual Service Cost: </w:t>
      </w:r>
      <w:r>
        <w:t>Annual Cost = Unit Cost × Frequency per Year × Inflation Adjustment</w:t>
      </w:r>
    </w:p>
    <w:p/>
    <w:p>
      <w:r>
        <w:rPr>
          <w:b/>
        </w:rPr>
        <w:t xml:space="preserve">Lifetime Service Cost: </w:t>
      </w:r>
      <w:r>
        <w:t>Sum of all annual costs over the service period, with inflation applied to each year</w:t>
      </w:r>
    </w:p>
    <w:p/>
    <w:p>
      <w:r>
        <w:rPr>
          <w:b/>
        </w:rPr>
        <w:t xml:space="preserve">Economic Assumptions Used: </w:t>
      </w:r>
      <w:r>
        <w:t xml:space="preserve">Discount Rate: 3.5% annually. </w:t>
      </w:r>
      <w:r>
        <w:t xml:space="preserve">Analysis Period: 39.4 years </w:t>
      </w:r>
      <w:r>
        <w:t xml:space="preserve">(2025 through 2063.4). </w:t>
      </w:r>
      <w:r>
        <w:t xml:space="preserve">Individual service inflation rates as specified in service details. </w:t>
      </w:r>
      <w:r>
        <w:t>All calculations assume consistent annual application of stated rates.</w:t>
      </w:r>
    </w:p>
    <w:p/>
    <w:p>
      <w:r>
        <w:rPr>
          <w:b/>
        </w:rPr>
        <w:t xml:space="preserve">Quality Control and Verification: </w:t>
      </w:r>
      <w:r>
        <w:t xml:space="preserve">All calculations are performed using established financial mathematics. </w:t>
      </w:r>
      <w:r>
        <w:t xml:space="preserve">Results are subject to mathematical verification and cross-checking. </w:t>
      </w:r>
      <w:r>
        <w:t xml:space="preserve">Alternative calculation methods may be applied for confirmation. </w:t>
      </w:r>
      <w:r>
        <w:t xml:space="preserve">Sensitivity analysis can be performed using different assumption sets </w:t>
      </w:r>
      <w:r>
        <w:t>to test the robustness of projections under varying economic conditions.</w:t>
      </w:r>
    </w:p>
    <w:p>
      <w:r>
        <w:br w:type="page"/>
      </w:r>
    </w:p>
    <w:p>
      <w:pPr>
        <w:pStyle w:val="Heading2"/>
      </w:pPr>
      <w:r>
        <w:t>Calculation Methodology and Mathematical Framework</w:t>
      </w:r>
    </w:p>
    <w:p>
      <w:r>
        <w:rPr>
          <w:b/>
        </w:rPr>
        <w:t xml:space="preserve">Mathematical Foundation: </w:t>
      </w:r>
      <w:r>
        <w:t xml:space="preserve">This section provides detailed mathematical equations and methodologies used in all cost projections. </w:t>
      </w:r>
      <w:r>
        <w:t>All calculations follow established actuarial and financial principles to ensure accuracy and reliability.</w:t>
      </w:r>
    </w:p>
    <w:p/>
    <w:p>
      <w:pPr>
        <w:pStyle w:val="Heading3"/>
      </w:pPr>
      <w:r>
        <w:t>Core Mathematical Equations</w:t>
      </w:r>
    </w:p>
    <w:p>
      <w:r>
        <w:rPr>
          <w:b/>
        </w:rPr>
        <w:t>1. Inflation-Adjusted Cost Calculation</w:t>
      </w:r>
      <w:r>
        <w:br/>
        <w:t>For recurring services, the cost in any given year is calculated as:</w:t>
        <w:br/>
      </w:r>
      <w:r>
        <w:rPr>
          <w:b/>
        </w:rPr>
        <w:t>C(t) = C₀ × (1 + i)ᵗ</w:t>
      </w:r>
      <w:r>
        <w:br/>
        <w:t>Where:</w:t>
      </w:r>
      <w:r>
        <w:br/>
        <w:t>• C(t) = Cost in year t</w:t>
      </w:r>
      <w:r>
        <w:br/>
        <w:t>• C₀ = Base year unit cost</w:t>
      </w:r>
      <w:r>
        <w:br/>
        <w:t>• i = Annual inflation rate (as decimal)</w:t>
      </w:r>
      <w:r>
        <w:br/>
        <w:t>• t = Number of years from base year</w:t>
      </w:r>
    </w:p>
    <w:p/>
    <w:p>
      <w:r>
        <w:rPr>
          <w:b/>
        </w:rPr>
        <w:t>2. Present Value Calculation</w:t>
      </w:r>
      <w:r>
        <w:br/>
        <w:t>To discount future costs to present value:</w:t>
        <w:br/>
      </w:r>
      <w:r>
        <w:rPr>
          <w:b/>
        </w:rPr>
        <w:t>PV(t) = C(t) ÷ (1 + d)ᵗ</w:t>
      </w:r>
      <w:r>
        <w:br/>
        <w:t>Where:</w:t>
      </w:r>
      <w:r>
        <w:br/>
        <w:t>• PV(t) = Present value of cost in year t</w:t>
      </w:r>
      <w:r>
        <w:br/>
        <w:t>• C(t) = Nominal cost in year t</w:t>
      </w:r>
      <w:r>
        <w:br/>
        <w:t>• d = Discount rate (as decimal)</w:t>
      </w:r>
      <w:r>
        <w:br/>
        <w:t>• t = Number of years from base year</w:t>
      </w:r>
    </w:p>
    <w:p/>
    <w:p>
      <w:r>
        <w:rPr>
          <w:b/>
        </w:rPr>
        <w:t>3. Total Lifetime Cost Calculation</w:t>
      </w:r>
      <w:r>
        <w:br/>
        <w:t>For services spanning the full projection period:</w:t>
        <w:br/>
      </w:r>
      <w:r>
        <w:rPr>
          <w:b/>
        </w:rPr>
        <w:t>Total Nominal = Σ [C₀ × (1 + i)ᵗ × f]</w:t>
      </w:r>
      <w:r>
        <w:rPr>
          <w:b/>
        </w:rPr>
        <w:br/>
        <w:t>Total PV = Σ [C₀ × (1 + i)ᵗ × f ÷ (1 + d)ᵗ]</w:t>
      </w:r>
      <w:r>
        <w:br/>
        <w:t>Where:</w:t>
      </w:r>
      <w:r>
        <w:br/>
        <w:t>• f = Frequency per year</w:t>
      </w:r>
      <w:r>
        <w:br/>
        <w:t>• Σ = Sum over all years in projection period</w:t>
      </w:r>
    </w:p>
    <w:p/>
    <w:p>
      <w:r>
        <w:rPr>
          <w:b/>
        </w:rPr>
        <w:t>4. Fractional Year Adjustment</w:t>
      </w:r>
      <w:r>
        <w:br/>
        <w:t>For projection period of 39.4 years:</w:t>
      </w:r>
      <w:r>
        <w:br/>
        <w:t>• Full years: 39</w:t>
      </w:r>
      <w:r>
        <w:br/>
        <w:t>• Fractional year: 0.4</w:t>
      </w:r>
      <w:r>
        <w:br/>
        <w:t>• Final year cost = C(39) × 0.4</w:t>
      </w:r>
    </w:p>
    <w:p/>
    <w:p>
      <w:pPr>
        <w:pStyle w:val="Heading3"/>
      </w:pPr>
      <w:r>
        <w:t>Service Type Calculation Methods</w:t>
      </w:r>
    </w:p>
    <w:p>
      <w:r>
        <w:rPr>
          <w:b/>
        </w:rPr>
        <w:t xml:space="preserve">Recurring Services: </w:t>
      </w:r>
      <w:r>
        <w:t xml:space="preserve">Applied annually from start year to end year. </w:t>
      </w:r>
      <w:r>
        <w:t xml:space="preserve">Cost increases each year by the specified inflation rate. </w:t>
      </w:r>
      <w:r>
        <w:t>Total frequency per year multiplied by inflated unit cost.</w:t>
      </w:r>
    </w:p>
    <w:p>
      <w:r>
        <w:rPr>
          <w:b/>
        </w:rPr>
        <w:t xml:space="preserve">One-time Services: </w:t>
      </w:r>
      <w:r>
        <w:t xml:space="preserve">Applied only in the specified year. </w:t>
      </w:r>
      <w:r>
        <w:t xml:space="preserve">Unit cost inflated from base year to service year. </w:t>
      </w:r>
      <w:r>
        <w:t>No ongoing costs in subsequent years.</w:t>
      </w:r>
    </w:p>
    <w:p>
      <w:r>
        <w:rPr>
          <w:b/>
        </w:rPr>
        <w:t xml:space="preserve">Discrete Occurrences: </w:t>
      </w:r>
      <w:r>
        <w:t xml:space="preserve">Applied only in specifically listed years. </w:t>
      </w:r>
      <w:r>
        <w:t xml:space="preserve">Each occurrence independently inflated from base year. </w:t>
      </w:r>
      <w:r>
        <w:t>Allows for irregular service patterns.</w:t>
      </w:r>
    </w:p>
    <w:p/>
    <w:p>
      <w:pPr>
        <w:pStyle w:val="Heading3"/>
      </w:pPr>
      <w:r>
        <w:t>Quality Control and Validation Framework</w:t>
      </w:r>
    </w:p>
    <w:p>
      <w:r>
        <w:rPr>
          <w:b/>
        </w:rPr>
        <w:t xml:space="preserve">Cross-Validation Method: </w:t>
      </w:r>
      <w:r>
        <w:t>All calculations undergo five-point validation:</w:t>
      </w:r>
      <w:r>
        <w:br/>
        <w:t>1. Category totals must reconcile with executive summary</w:t>
      </w:r>
      <w:r>
        <w:br/>
        <w:t>2. Average annual cost verification: Total ÷ Projection Years</w:t>
      </w:r>
      <w:r>
        <w:br/>
        <w:t>3. Year-by-year consistency across all report sections</w:t>
      </w:r>
      <w:r>
        <w:br/>
        <w:t>4. Total sum verification with tolerance &lt; $1.00</w:t>
      </w:r>
      <w:r>
        <w:br/>
        <w:t>5. Matrix reconciliation using audit-standard methodologies</w:t>
      </w:r>
    </w:p>
    <w:p/>
    <w:p>
      <w:r>
        <w:rPr>
          <w:b/>
        </w:rPr>
        <w:t xml:space="preserve">Tolerance Standards: </w:t>
      </w:r>
      <w:r>
        <w:t xml:space="preserve">Acceptable discrepancies are limited to $1.00 due to rounding. </w:t>
      </w:r>
      <w:r>
        <w:t>Any variance exceeding this threshold triggers automatic review and correction.</w:t>
      </w:r>
    </w:p>
    <w:p>
      <w:pPr>
        <w:pStyle w:val="Heading3"/>
      </w:pPr>
      <w:r>
        <w:t>Sensitivity Analysis</w:t>
      </w:r>
    </w:p>
    <w:p>
      <w:r>
        <w:rPr>
          <w:b/>
        </w:rPr>
        <w:t xml:space="preserve">Discount Rate Sensitivity: </w:t>
      </w:r>
      <w:r>
        <w:t>The following table shows the impact of ±0.5% discount rate changes on total present value: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</w:rPr>
              <w:t>Discount Rate</w:t>
            </w:r>
          </w:p>
        </w:tc>
        <w:tc>
          <w:tcPr>
            <w:tcW w:type="dxa" w:w="3600"/>
          </w:tcPr>
          <w:p>
            <w:r>
              <w:rPr>
                <w:b/>
              </w:rPr>
              <w:t>Total Present Value</w:t>
            </w:r>
          </w:p>
        </w:tc>
        <w:tc>
          <w:tcPr>
            <w:tcW w:type="dxa" w:w="3600"/>
          </w:tcPr>
          <w:p>
            <w:r>
              <w:rPr>
                <w:b/>
              </w:rPr>
              <w:t>Difference from Base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Percentage Change</w:t>
            </w:r>
          </w:p>
        </w:tc>
      </w:tr>
      <w:tr>
        <w:tc>
          <w:tcPr>
            <w:tcW w:type="dxa" w:w="3600"/>
          </w:tcPr>
          <w:p>
            <w:r>
              <w:t>3.0%</w:t>
            </w:r>
          </w:p>
        </w:tc>
        <w:tc>
          <w:tcPr>
            <w:tcW w:type="dxa" w:w="3600"/>
          </w:tcPr>
          <w:p>
            <w:r>
              <w:t>$261,657.66</w:t>
            </w:r>
          </w:p>
        </w:tc>
        <w:tc>
          <w:tcPr>
            <w:tcW w:type="dxa" w:w="3600"/>
          </w:tcPr>
          <w:p>
            <w:r>
              <w:t>$10,910.14</w:t>
            </w:r>
          </w:p>
        </w:tc>
        <w:tc>
          <w:tcPr>
            <w:tcW w:type="dxa" w:w="3600"/>
          </w:tcPr>
          <w:p>
            <w:r>
              <w:t>+4.35%</w:t>
            </w:r>
          </w:p>
        </w:tc>
      </w:tr>
      <w:tr>
        <w:tc>
          <w:tcPr>
            <w:tcW w:type="dxa" w:w="3600"/>
          </w:tcPr>
          <w:p>
            <w:r>
              <w:t>3.5%</w:t>
            </w:r>
          </w:p>
        </w:tc>
        <w:tc>
          <w:tcPr>
            <w:tcW w:type="dxa" w:w="3600"/>
          </w:tcPr>
          <w:p>
            <w:r>
              <w:t>$250,747.52</w:t>
            </w:r>
          </w:p>
        </w:tc>
        <w:tc>
          <w:tcPr>
            <w:tcW w:type="dxa" w:w="3600"/>
          </w:tcPr>
          <w:p>
            <w:r>
              <w:t>$0.00</w:t>
            </w:r>
          </w:p>
        </w:tc>
        <w:tc>
          <w:tcPr>
            <w:tcW w:type="dxa" w:w="3600"/>
          </w:tcPr>
          <w:p>
            <w:r>
              <w:t>+0.00%</w:t>
            </w:r>
          </w:p>
        </w:tc>
      </w:tr>
      <w:tr>
        <w:tc>
          <w:tcPr>
            <w:tcW w:type="dxa" w:w="3600"/>
          </w:tcPr>
          <w:p>
            <w:r>
              <w:t>4.0%</w:t>
            </w:r>
          </w:p>
        </w:tc>
        <w:tc>
          <w:tcPr>
            <w:tcW w:type="dxa" w:w="3600"/>
          </w:tcPr>
          <w:p>
            <w:r>
              <w:t>$240,706.07</w:t>
            </w:r>
          </w:p>
        </w:tc>
        <w:tc>
          <w:tcPr>
            <w:tcW w:type="dxa" w:w="3600"/>
          </w:tcPr>
          <w:p>
            <w:r>
              <w:t>$-10,041.45</w:t>
            </w:r>
          </w:p>
        </w:tc>
        <w:tc>
          <w:tcPr>
            <w:tcW w:type="dxa" w:w="3600"/>
          </w:tcPr>
          <w:p>
            <w:r>
              <w:t>-4.00%</w:t>
            </w:r>
          </w:p>
        </w:tc>
      </w:tr>
    </w:tbl>
    <w:p/>
    <w:p>
      <w:r>
        <w:rPr>
          <w:b/>
        </w:rPr>
        <w:t xml:space="preserve">Inflation Rate Sensitivity: </w:t>
      </w:r>
      <w:r>
        <w:t xml:space="preserve">Service-specific inflation rates are applied individually. </w:t>
      </w:r>
      <w:r>
        <w:t xml:space="preserve">A 1% increase in inflation across all services typically increases total nominal costs by 15-25% over long projection periods. </w:t>
      </w:r>
      <w:r>
        <w:t>Present value impacts are moderated by the discount rate effect.</w:t>
      </w:r>
    </w:p>
    <w:p>
      <w:pPr>
        <w:pStyle w:val="Heading3"/>
      </w:pPr>
      <w:r>
        <w:t>Mathematical Factor Tables</w:t>
      </w:r>
    </w:p>
    <w:p>
      <w:pPr>
        <w:pStyle w:val="Heading4"/>
      </w:pPr>
      <w:r>
        <w:t>Discount Factors</w:t>
      </w:r>
    </w:p>
    <w:p>
      <w:r>
        <w:rPr>
          <w:b/>
        </w:rPr>
        <w:t xml:space="preserve">Present Value Discount Factors: </w:t>
      </w:r>
      <w:r>
        <w:t>Based on 3.5% annual discount rate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rPr>
                <w:b/>
              </w:rPr>
              <w:t>Year</w:t>
            </w:r>
          </w:p>
        </w:tc>
        <w:tc>
          <w:tcPr>
            <w:tcW w:type="dxa" w:w="4800"/>
          </w:tcPr>
          <w:p>
            <w:r>
              <w:rPr>
                <w:b/>
              </w:rPr>
              <w:t>Discount Factor</w:t>
            </w:r>
          </w:p>
        </w:tc>
        <w:tc>
          <w:tcPr>
            <w:tcW w:type="dxa" w:w="4800"/>
          </w:tcPr>
          <w:p>
            <w:r>
              <w:rPr>
                <w:b/>
              </w:rPr>
              <w:t>Cumulative Factor</w:t>
            </w:r>
          </w:p>
        </w:tc>
      </w:tr>
      <w:tr>
        <w:tc>
          <w:tcPr>
            <w:tcW w:type="dxa" w:w="4800"/>
          </w:tcPr>
          <w:p>
            <w:r>
              <w:t>2025</w:t>
            </w:r>
          </w:p>
        </w:tc>
        <w:tc>
          <w:tcPr>
            <w:tcW w:type="dxa" w:w="4800"/>
          </w:tcPr>
          <w:p>
            <w:r>
              <w:t>1.000000</w:t>
            </w:r>
          </w:p>
        </w:tc>
        <w:tc>
          <w:tcPr>
            <w:tcW w:type="dxa" w:w="4800"/>
          </w:tcPr>
          <w:p>
            <w:r>
              <w:t>1.000000</w:t>
            </w:r>
          </w:p>
        </w:tc>
      </w:tr>
      <w:tr>
        <w:tc>
          <w:tcPr>
            <w:tcW w:type="dxa" w:w="4800"/>
          </w:tcPr>
          <w:p>
            <w:r>
              <w:t>2026</w:t>
            </w:r>
          </w:p>
        </w:tc>
        <w:tc>
          <w:tcPr>
            <w:tcW w:type="dxa" w:w="4800"/>
          </w:tcPr>
          <w:p>
            <w:r>
              <w:t>0.966184</w:t>
            </w:r>
          </w:p>
        </w:tc>
        <w:tc>
          <w:tcPr>
            <w:tcW w:type="dxa" w:w="4800"/>
          </w:tcPr>
          <w:p>
            <w:r>
              <w:t>1.966184</w:t>
            </w:r>
          </w:p>
        </w:tc>
      </w:tr>
      <w:tr>
        <w:tc>
          <w:tcPr>
            <w:tcW w:type="dxa" w:w="4800"/>
          </w:tcPr>
          <w:p>
            <w:r>
              <w:t>2027</w:t>
            </w:r>
          </w:p>
        </w:tc>
        <w:tc>
          <w:tcPr>
            <w:tcW w:type="dxa" w:w="4800"/>
          </w:tcPr>
          <w:p>
            <w:r>
              <w:t>0.933511</w:t>
            </w:r>
          </w:p>
        </w:tc>
        <w:tc>
          <w:tcPr>
            <w:tcW w:type="dxa" w:w="4800"/>
          </w:tcPr>
          <w:p>
            <w:r>
              <w:t>2.899694</w:t>
            </w:r>
          </w:p>
        </w:tc>
      </w:tr>
      <w:tr>
        <w:tc>
          <w:tcPr>
            <w:tcW w:type="dxa" w:w="4800"/>
          </w:tcPr>
          <w:p>
            <w:r>
              <w:t>2028</w:t>
            </w:r>
          </w:p>
        </w:tc>
        <w:tc>
          <w:tcPr>
            <w:tcW w:type="dxa" w:w="4800"/>
          </w:tcPr>
          <w:p>
            <w:r>
              <w:t>0.901943</w:t>
            </w:r>
          </w:p>
        </w:tc>
        <w:tc>
          <w:tcPr>
            <w:tcW w:type="dxa" w:w="4800"/>
          </w:tcPr>
          <w:p>
            <w:r>
              <w:t>3.801637</w:t>
            </w:r>
          </w:p>
        </w:tc>
      </w:tr>
      <w:tr>
        <w:tc>
          <w:tcPr>
            <w:tcW w:type="dxa" w:w="4800"/>
          </w:tcPr>
          <w:p>
            <w:r>
              <w:t>2029</w:t>
            </w:r>
          </w:p>
        </w:tc>
        <w:tc>
          <w:tcPr>
            <w:tcW w:type="dxa" w:w="4800"/>
          </w:tcPr>
          <w:p>
            <w:r>
              <w:t>0.871442</w:t>
            </w:r>
          </w:p>
        </w:tc>
        <w:tc>
          <w:tcPr>
            <w:tcW w:type="dxa" w:w="4800"/>
          </w:tcPr>
          <w:p>
            <w:r>
              <w:t>4.673079</w:t>
            </w:r>
          </w:p>
        </w:tc>
      </w:tr>
      <w:tr>
        <w:tc>
          <w:tcPr>
            <w:tcW w:type="dxa" w:w="4800"/>
          </w:tcPr>
          <w:p>
            <w:r>
              <w:t>2030</w:t>
            </w:r>
          </w:p>
        </w:tc>
        <w:tc>
          <w:tcPr>
            <w:tcW w:type="dxa" w:w="4800"/>
          </w:tcPr>
          <w:p>
            <w:r>
              <w:t>0.841973</w:t>
            </w:r>
          </w:p>
        </w:tc>
        <w:tc>
          <w:tcPr>
            <w:tcW w:type="dxa" w:w="4800"/>
          </w:tcPr>
          <w:p>
            <w:r>
              <w:t>5.515052</w:t>
            </w:r>
          </w:p>
        </w:tc>
      </w:tr>
      <w:tr>
        <w:tc>
          <w:tcPr>
            <w:tcW w:type="dxa" w:w="4800"/>
          </w:tcPr>
          <w:p>
            <w:r>
              <w:t>2031</w:t>
            </w:r>
          </w:p>
        </w:tc>
        <w:tc>
          <w:tcPr>
            <w:tcW w:type="dxa" w:w="4800"/>
          </w:tcPr>
          <w:p>
            <w:r>
              <w:t>0.813501</w:t>
            </w:r>
          </w:p>
        </w:tc>
        <w:tc>
          <w:tcPr>
            <w:tcW w:type="dxa" w:w="4800"/>
          </w:tcPr>
          <w:p>
            <w:r>
              <w:t>6.328553</w:t>
            </w:r>
          </w:p>
        </w:tc>
      </w:tr>
      <w:tr>
        <w:tc>
          <w:tcPr>
            <w:tcW w:type="dxa" w:w="4800"/>
          </w:tcPr>
          <w:p>
            <w:r>
              <w:t>2032</w:t>
            </w:r>
          </w:p>
        </w:tc>
        <w:tc>
          <w:tcPr>
            <w:tcW w:type="dxa" w:w="4800"/>
          </w:tcPr>
          <w:p>
            <w:r>
              <w:t>0.785991</w:t>
            </w:r>
          </w:p>
        </w:tc>
        <w:tc>
          <w:tcPr>
            <w:tcW w:type="dxa" w:w="4800"/>
          </w:tcPr>
          <w:p>
            <w:r>
              <w:t>7.114544</w:t>
            </w:r>
          </w:p>
        </w:tc>
      </w:tr>
      <w:tr>
        <w:tc>
          <w:tcPr>
            <w:tcW w:type="dxa" w:w="4800"/>
          </w:tcPr>
          <w:p>
            <w:r>
              <w:t>2033</w:t>
            </w:r>
          </w:p>
        </w:tc>
        <w:tc>
          <w:tcPr>
            <w:tcW w:type="dxa" w:w="4800"/>
          </w:tcPr>
          <w:p>
            <w:r>
              <w:t>0.759412</w:t>
            </w:r>
          </w:p>
        </w:tc>
        <w:tc>
          <w:tcPr>
            <w:tcW w:type="dxa" w:w="4800"/>
          </w:tcPr>
          <w:p>
            <w:r>
              <w:t>7.873956</w:t>
            </w:r>
          </w:p>
        </w:tc>
      </w:tr>
      <w:tr>
        <w:tc>
          <w:tcPr>
            <w:tcW w:type="dxa" w:w="4800"/>
          </w:tcPr>
          <w:p>
            <w:r>
              <w:t>2034</w:t>
            </w:r>
          </w:p>
        </w:tc>
        <w:tc>
          <w:tcPr>
            <w:tcW w:type="dxa" w:w="4800"/>
          </w:tcPr>
          <w:p>
            <w:r>
              <w:t>0.733731</w:t>
            </w:r>
          </w:p>
        </w:tc>
        <w:tc>
          <w:tcPr>
            <w:tcW w:type="dxa" w:w="4800"/>
          </w:tcPr>
          <w:p>
            <w:r>
              <w:t>8.607687</w:t>
            </w:r>
          </w:p>
        </w:tc>
      </w:tr>
    </w:tbl>
    <w:p/>
    <w:p>
      <w:pPr>
        <w:pStyle w:val="Heading4"/>
      </w:pPr>
      <w:r>
        <w:t>Sample Inflation Factors</w:t>
      </w:r>
    </w:p>
    <w:p>
      <w:r>
        <w:rPr>
          <w:b/>
        </w:rPr>
        <w:t xml:space="preserve">Example Inflation Factors: </w:t>
      </w:r>
      <w:r>
        <w:t>Showing compound growth at common medical inflation rates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</w:rPr>
              <w:t>Year</w:t>
            </w:r>
          </w:p>
        </w:tc>
        <w:tc>
          <w:tcPr>
            <w:tcW w:type="dxa" w:w="3600"/>
          </w:tcPr>
          <w:p>
            <w:r>
              <w:rPr>
                <w:b/>
              </w:rPr>
              <w:t>2.5% Inflation</w:t>
            </w:r>
          </w:p>
        </w:tc>
        <w:tc>
          <w:tcPr>
            <w:tcW w:type="dxa" w:w="3600"/>
          </w:tcPr>
          <w:p>
            <w:r>
              <w:rPr>
                <w:b/>
              </w:rPr>
              <w:t>3.0% Inflation</w:t>
            </w:r>
          </w:p>
        </w:tc>
        <w:tc>
          <w:tcPr>
            <w:tcW w:type="dxa" w:w="3600"/>
          </w:tcPr>
          <w:p>
            <w:r>
              <w:rPr>
                <w:b/>
              </w:rPr>
              <w:t>3.5% Inflation</w:t>
            </w:r>
          </w:p>
        </w:tc>
      </w:tr>
      <w:tr>
        <w:tc>
          <w:tcPr>
            <w:tcW w:type="dxa" w:w="3600"/>
          </w:tcPr>
          <w:p>
            <w:r>
              <w:t>2025</w:t>
            </w:r>
          </w:p>
        </w:tc>
        <w:tc>
          <w:tcPr>
            <w:tcW w:type="dxa" w:w="3600"/>
          </w:tcPr>
          <w:p>
            <w:r>
              <w:t>1.000000</w:t>
            </w:r>
          </w:p>
        </w:tc>
        <w:tc>
          <w:tcPr>
            <w:tcW w:type="dxa" w:w="3600"/>
          </w:tcPr>
          <w:p>
            <w:r>
              <w:t>1.000000</w:t>
            </w:r>
          </w:p>
        </w:tc>
        <w:tc>
          <w:tcPr>
            <w:tcW w:type="dxa" w:w="3600"/>
          </w:tcPr>
          <w:p>
            <w:r>
              <w:t>1.000000</w:t>
            </w:r>
          </w:p>
        </w:tc>
      </w:tr>
      <w:tr>
        <w:tc>
          <w:tcPr>
            <w:tcW w:type="dxa" w:w="3600"/>
          </w:tcPr>
          <w:p>
            <w:r>
              <w:t>2026</w:t>
            </w:r>
          </w:p>
        </w:tc>
        <w:tc>
          <w:tcPr>
            <w:tcW w:type="dxa" w:w="3600"/>
          </w:tcPr>
          <w:p>
            <w:r>
              <w:t>1.025000</w:t>
            </w:r>
          </w:p>
        </w:tc>
        <w:tc>
          <w:tcPr>
            <w:tcW w:type="dxa" w:w="3600"/>
          </w:tcPr>
          <w:p>
            <w:r>
              <w:t>1.030000</w:t>
            </w:r>
          </w:p>
        </w:tc>
        <w:tc>
          <w:tcPr>
            <w:tcW w:type="dxa" w:w="3600"/>
          </w:tcPr>
          <w:p>
            <w:r>
              <w:t>1.035000</w:t>
            </w:r>
          </w:p>
        </w:tc>
      </w:tr>
      <w:tr>
        <w:tc>
          <w:tcPr>
            <w:tcW w:type="dxa" w:w="3600"/>
          </w:tcPr>
          <w:p>
            <w:r>
              <w:t>2027</w:t>
            </w:r>
          </w:p>
        </w:tc>
        <w:tc>
          <w:tcPr>
            <w:tcW w:type="dxa" w:w="3600"/>
          </w:tcPr>
          <w:p>
            <w:r>
              <w:t>1.050625</w:t>
            </w:r>
          </w:p>
        </w:tc>
        <w:tc>
          <w:tcPr>
            <w:tcW w:type="dxa" w:w="3600"/>
          </w:tcPr>
          <w:p>
            <w:r>
              <w:t>1.060900</w:t>
            </w:r>
          </w:p>
        </w:tc>
        <w:tc>
          <w:tcPr>
            <w:tcW w:type="dxa" w:w="3600"/>
          </w:tcPr>
          <w:p>
            <w:r>
              <w:t>1.071225</w:t>
            </w:r>
          </w:p>
        </w:tc>
      </w:tr>
      <w:tr>
        <w:tc>
          <w:tcPr>
            <w:tcW w:type="dxa" w:w="3600"/>
          </w:tcPr>
          <w:p>
            <w:r>
              <w:t>2028</w:t>
            </w:r>
          </w:p>
        </w:tc>
        <w:tc>
          <w:tcPr>
            <w:tcW w:type="dxa" w:w="3600"/>
          </w:tcPr>
          <w:p>
            <w:r>
              <w:t>1.076891</w:t>
            </w:r>
          </w:p>
        </w:tc>
        <w:tc>
          <w:tcPr>
            <w:tcW w:type="dxa" w:w="3600"/>
          </w:tcPr>
          <w:p>
            <w:r>
              <w:t>1.092727</w:t>
            </w:r>
          </w:p>
        </w:tc>
        <w:tc>
          <w:tcPr>
            <w:tcW w:type="dxa" w:w="3600"/>
          </w:tcPr>
          <w:p>
            <w:r>
              <w:t>1.108718</w:t>
            </w:r>
          </w:p>
        </w:tc>
      </w:tr>
      <w:tr>
        <w:tc>
          <w:tcPr>
            <w:tcW w:type="dxa" w:w="3600"/>
          </w:tcPr>
          <w:p>
            <w:r>
              <w:t>2029</w:t>
            </w:r>
          </w:p>
        </w:tc>
        <w:tc>
          <w:tcPr>
            <w:tcW w:type="dxa" w:w="3600"/>
          </w:tcPr>
          <w:p>
            <w:r>
              <w:t>1.103813</w:t>
            </w:r>
          </w:p>
        </w:tc>
        <w:tc>
          <w:tcPr>
            <w:tcW w:type="dxa" w:w="3600"/>
          </w:tcPr>
          <w:p>
            <w:r>
              <w:t>1.125509</w:t>
            </w:r>
          </w:p>
        </w:tc>
        <w:tc>
          <w:tcPr>
            <w:tcW w:type="dxa" w:w="3600"/>
          </w:tcPr>
          <w:p>
            <w:r>
              <w:t>1.147523</w:t>
            </w:r>
          </w:p>
        </w:tc>
      </w:tr>
      <w:tr>
        <w:tc>
          <w:tcPr>
            <w:tcW w:type="dxa" w:w="3600"/>
          </w:tcPr>
          <w:p>
            <w:r>
              <w:t>2030</w:t>
            </w:r>
          </w:p>
        </w:tc>
        <w:tc>
          <w:tcPr>
            <w:tcW w:type="dxa" w:w="3600"/>
          </w:tcPr>
          <w:p>
            <w:r>
              <w:t>1.131408</w:t>
            </w:r>
          </w:p>
        </w:tc>
        <w:tc>
          <w:tcPr>
            <w:tcW w:type="dxa" w:w="3600"/>
          </w:tcPr>
          <w:p>
            <w:r>
              <w:t>1.159274</w:t>
            </w:r>
          </w:p>
        </w:tc>
        <w:tc>
          <w:tcPr>
            <w:tcW w:type="dxa" w:w="3600"/>
          </w:tcPr>
          <w:p>
            <w:r>
              <w:t>1.187686</w:t>
            </w:r>
          </w:p>
        </w:tc>
      </w:tr>
      <w:tr>
        <w:tc>
          <w:tcPr>
            <w:tcW w:type="dxa" w:w="3600"/>
          </w:tcPr>
          <w:p>
            <w:r>
              <w:t>2031</w:t>
            </w:r>
          </w:p>
        </w:tc>
        <w:tc>
          <w:tcPr>
            <w:tcW w:type="dxa" w:w="3600"/>
          </w:tcPr>
          <w:p>
            <w:r>
              <w:t>1.159693</w:t>
            </w:r>
          </w:p>
        </w:tc>
        <w:tc>
          <w:tcPr>
            <w:tcW w:type="dxa" w:w="3600"/>
          </w:tcPr>
          <w:p>
            <w:r>
              <w:t>1.194052</w:t>
            </w:r>
          </w:p>
        </w:tc>
        <w:tc>
          <w:tcPr>
            <w:tcW w:type="dxa" w:w="3600"/>
          </w:tcPr>
          <w:p>
            <w:r>
              <w:t>1.229255</w:t>
            </w:r>
          </w:p>
        </w:tc>
      </w:tr>
      <w:tr>
        <w:tc>
          <w:tcPr>
            <w:tcW w:type="dxa" w:w="3600"/>
          </w:tcPr>
          <w:p>
            <w:r>
              <w:t>2032</w:t>
            </w:r>
          </w:p>
        </w:tc>
        <w:tc>
          <w:tcPr>
            <w:tcW w:type="dxa" w:w="3600"/>
          </w:tcPr>
          <w:p>
            <w:r>
              <w:t>1.188686</w:t>
            </w:r>
          </w:p>
        </w:tc>
        <w:tc>
          <w:tcPr>
            <w:tcW w:type="dxa" w:w="3600"/>
          </w:tcPr>
          <w:p>
            <w:r>
              <w:t>1.229874</w:t>
            </w:r>
          </w:p>
        </w:tc>
        <w:tc>
          <w:tcPr>
            <w:tcW w:type="dxa" w:w="3600"/>
          </w:tcPr>
          <w:p>
            <w:r>
              <w:t>1.272279</w:t>
            </w:r>
          </w:p>
        </w:tc>
      </w:tr>
      <w:tr>
        <w:tc>
          <w:tcPr>
            <w:tcW w:type="dxa" w:w="3600"/>
          </w:tcPr>
          <w:p>
            <w:r>
              <w:t>2033</w:t>
            </w:r>
          </w:p>
        </w:tc>
        <w:tc>
          <w:tcPr>
            <w:tcW w:type="dxa" w:w="3600"/>
          </w:tcPr>
          <w:p>
            <w:r>
              <w:t>1.218403</w:t>
            </w:r>
          </w:p>
        </w:tc>
        <w:tc>
          <w:tcPr>
            <w:tcW w:type="dxa" w:w="3600"/>
          </w:tcPr>
          <w:p>
            <w:r>
              <w:t>1.266770</w:t>
            </w:r>
          </w:p>
        </w:tc>
        <w:tc>
          <w:tcPr>
            <w:tcW w:type="dxa" w:w="3600"/>
          </w:tcPr>
          <w:p>
            <w:r>
              <w:t>1.316809</w:t>
            </w:r>
          </w:p>
        </w:tc>
      </w:tr>
      <w:tr>
        <w:tc>
          <w:tcPr>
            <w:tcW w:type="dxa" w:w="3600"/>
          </w:tcPr>
          <w:p>
            <w:r>
              <w:t>2034</w:t>
            </w:r>
          </w:p>
        </w:tc>
        <w:tc>
          <w:tcPr>
            <w:tcW w:type="dxa" w:w="3600"/>
          </w:tcPr>
          <w:p>
            <w:r>
              <w:t>1.248863</w:t>
            </w:r>
          </w:p>
        </w:tc>
        <w:tc>
          <w:tcPr>
            <w:tcW w:type="dxa" w:w="3600"/>
          </w:tcPr>
          <w:p>
            <w:r>
              <w:t>1.304773</w:t>
            </w:r>
          </w:p>
        </w:tc>
        <w:tc>
          <w:tcPr>
            <w:tcW w:type="dxa" w:w="3600"/>
          </w:tcPr>
          <w:p>
            <w:r>
              <w:t>1.362897</w:t>
            </w:r>
          </w:p>
        </w:tc>
      </w:tr>
    </w:tbl>
    <w:p>
      <w:pPr>
        <w:pStyle w:val="Heading3"/>
      </w:pPr>
      <w:r>
        <w:t>Automated Variance Analysis and Error Detection</w:t>
      </w:r>
    </w:p>
    <w:p>
      <w:r>
        <w:rPr>
          <w:b/>
        </w:rPr>
        <w:t xml:space="preserve">Automated Analysis Summary: </w:t>
      </w:r>
      <w:r>
        <w:t xml:space="preserve">Analysis performed on 2025-06-18 08:25:39. </w:t>
      </w:r>
      <w:r>
        <w:t xml:space="preserve">This section provides automated detection of potential errors, </w:t>
      </w:r>
      <w:r>
        <w:t>inconsistencies, and unusual patterns in the calculation results.</w:t>
      </w:r>
    </w:p>
    <w:p/>
    <w:p>
      <w:pPr>
        <w:pStyle w:val="Heading4"/>
      </w:pPr>
      <w:r>
        <w:t>Data Integrity Assessment</w:t>
      </w:r>
    </w:p>
    <w:p>
      <w:r>
        <w:rPr>
          <w:b/>
        </w:rPr>
        <w:t xml:space="preserve">Data Consistency Status: </w:t>
      </w:r>
      <w:r>
        <w:rPr>
          <w:b/>
        </w:rPr>
        <w:t>✓ PASS - All data integrity checks passed</w:t>
      </w:r>
    </w:p>
    <w:p/>
    <w:p>
      <w:pPr>
        <w:pStyle w:val="Heading4"/>
      </w:pPr>
      <w:r>
        <w:t>Calculation Consistency Verification</w:t>
      </w:r>
    </w:p>
    <w:p>
      <w:r>
        <w:rPr>
          <w:b/>
        </w:rPr>
        <w:t xml:space="preserve">Tolerance Compliance: </w:t>
      </w:r>
      <w:r>
        <w:rPr>
          <w:b/>
        </w:rPr>
        <w:t>✓ PASS - All discrepancies within $1.00 tolerance</w:t>
      </w:r>
    </w:p>
    <w:p>
      <w:r>
        <w:rPr>
          <w:b/>
        </w:rPr>
        <w:t xml:space="preserve">Schedule Vs Summary: </w:t>
      </w:r>
      <w:r>
        <w:t>✓ PASS</w:t>
      </w:r>
    </w:p>
    <w:p>
      <w:r>
        <w:rPr>
          <w:b/>
        </w:rPr>
        <w:t xml:space="preserve">Category Reconciliation: </w:t>
      </w:r>
      <w:r>
        <w:t>✓ PASS</w:t>
      </w:r>
    </w:p>
    <w:p>
      <w:r>
        <w:rPr>
          <w:b/>
        </w:rPr>
        <w:t xml:space="preserve">Present Value Consistency: </w:t>
      </w:r>
      <w:r>
        <w:t>✓ PASS</w:t>
      </w:r>
    </w:p>
    <w:p/>
    <w:p>
      <w:pPr>
        <w:pStyle w:val="Heading4"/>
      </w:pPr>
      <w:r>
        <w:t>Reasonableness Assessment</w:t>
      </w:r>
    </w:p>
    <w:p>
      <w:r>
        <w:rPr>
          <w:b/>
        </w:rPr>
        <w:t>Cost Distribution Analysis:</w:t>
      </w:r>
      <w:r>
        <w:br/>
        <w:t>• Annual cost range: $0 - $133,595</w:t>
      </w:r>
      <w:r>
        <w:br/>
        <w:t>• Average annual cost: $8,801</w:t>
      </w:r>
      <w:r>
        <w:br/>
        <w:t>• Cost variability: 3.25</w:t>
      </w:r>
    </w:p>
    <w:p>
      <w:r>
        <w:rPr>
          <w:b/>
        </w:rPr>
        <w:t>Outlier Detection:</w:t>
      </w:r>
      <w:r>
        <w:br/>
        <w:t>• 2 outlier years detected: 2027, 2040</w:t>
      </w:r>
    </w:p>
    <w:p/>
    <w:p>
      <w:pPr>
        <w:pStyle w:val="Heading4"/>
      </w:pPr>
      <w:r>
        <w:t>Cost Trend Analysis</w:t>
      </w:r>
    </w:p>
    <w:p>
      <w:r>
        <w:rPr>
          <w:b/>
        </w:rPr>
        <w:t xml:space="preserve">Overall Cost Trend: </w:t>
      </w:r>
      <w:r>
        <w:t>DECREASING</w:t>
      </w:r>
      <w:r>
        <w:br/>
        <w:t>• Early years average: $12,354</w:t>
      </w:r>
      <w:r>
        <w:br/>
        <w:t>• Middle years average: $12,409</w:t>
      </w:r>
      <w:r>
        <w:br/>
        <w:t>• Late years average: $2,153</w:t>
      </w:r>
      <w:r>
        <w:br/>
        <w:t>• Peak cost year: 2040 ($133,595)</w:t>
      </w:r>
    </w:p>
    <w:p/>
    <w:p>
      <w:pPr>
        <w:pStyle w:val="Heading4"/>
      </w:pPr>
      <w:r>
        <w:t>Analysis Recommendations</w:t>
      </w:r>
    </w:p>
    <w:p>
      <w:r>
        <w:rPr>
          <w:b/>
        </w:rPr>
        <w:t>Recommended Actions:</w:t>
      </w:r>
      <w:r>
        <w:br/>
        <w:t>1. High cost variability detected - review service distribution for potential outliers</w:t>
      </w:r>
      <w:r>
        <w:br/>
        <w:t>2. Unusual cost patterns in years: 2027, 2040 - verify service assumptions</w:t>
      </w:r>
      <w:r>
        <w:br/>
        <w:t>3. Costs show downward trend - verify service end dates and assumptions</w:t>
      </w:r>
    </w:p>
    <w:p>
      <w:r>
        <w:br w:type="page"/>
      </w:r>
    </w:p>
    <w:p>
      <w:pPr>
        <w:pStyle w:val="Heading2"/>
      </w:pPr>
      <w:r>
        <w:t>Executive Summary</w:t>
      </w:r>
    </w:p>
    <w:p>
      <w:r>
        <w:rPr>
          <w:b/>
        </w:rPr>
        <w:t xml:space="preserve">Total Lifetime Medical Costs (Nominal): </w:t>
      </w:r>
      <w:r>
        <w:t>$352,056.73</w:t>
        <w:br/>
      </w:r>
      <w:r>
        <w:rPr>
          <w:b/>
        </w:rPr>
        <w:t xml:space="preserve">Average Annual Medical Costs: </w:t>
      </w:r>
      <w:r>
        <w:t>$9,027.10</w:t>
        <w:br/>
      </w:r>
      <w:r>
        <w:rPr>
          <w:b/>
        </w:rPr>
        <w:t xml:space="preserve">Total Lifetime Medical Costs (Present Value): </w:t>
      </w:r>
      <w:r>
        <w:t>$250,747.52</w:t>
        <w:br/>
      </w:r>
      <w:r>
        <w:rPr>
          <w:b/>
        </w:rPr>
        <w:t xml:space="preserve">Present Value Savings vs Nominal: </w:t>
      </w:r>
      <w:r>
        <w:t>$101,309.21</w:t>
        <w:br/>
      </w:r>
    </w:p>
    <w:p/>
    <w:p/>
    <w:p>
      <w:pPr>
        <w:pStyle w:val="Heading2"/>
      </w:pPr>
      <w:r>
        <w:t>Detailed Service Breakdown by Category</w:t>
      </w:r>
    </w:p>
    <w:p>
      <w:pPr>
        <w:pStyle w:val="Heading3"/>
      </w:pPr>
      <w:r>
        <w:t>Physician Evaluation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$17,434.66</w:t>
      </w:r>
      <w:r>
        <w:t xml:space="preserve"> ($9,750.68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$444.33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1.0x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2025 to End of plan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3.2%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$17,434.66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$9,750.68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>
      <w:r>
        <w:br w:type="page"/>
      </w:r>
    </w:p>
    <w:p>
      <w:pPr>
        <w:pStyle w:val="Heading3"/>
      </w:pPr>
      <w:r>
        <w:t>Diagnostics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$72,642.40</w:t>
      </w:r>
      <w:r>
        <w:t xml:space="preserve"> ($40,630.13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$1,852.03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1.0x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2025 to End of plan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3.0%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$72,642.40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$40,630.13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>
      <w:r>
        <w:br w:type="page"/>
      </w:r>
    </w:p>
    <w:p>
      <w:pPr>
        <w:pStyle w:val="Heading3"/>
      </w:pPr>
      <w:r>
        <w:t>Surgeries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$261,979.67</w:t>
      </w:r>
      <w:r>
        <w:t xml:space="preserve"> ($200,366.72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Shoulder Arthroscopy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$130,600.45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1.0x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Years 2027-2040</w:t>
              <w:br/>
              <w:t>(2 specific years)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3.5%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$261,979.67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$200,366.72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>
      <w:r>
        <w:br w:type="page"/>
      </w:r>
    </w:p>
    <w:p>
      <w:r>
        <w:br w:type="page"/>
      </w:r>
    </w:p>
    <w:p>
      <w:pPr>
        <w:pStyle w:val="Heading2"/>
      </w:pPr>
      <w:r>
        <w:t>Annual Cost Schedule Summary</w:t>
      </w:r>
    </w:p>
    <w:p>
      <w:r>
        <w:rPr>
          <w:b/>
        </w:rPr>
        <w:t xml:space="preserve">Understanding Your Annual Costs: </w:t>
      </w:r>
      <w:r>
        <w:t xml:space="preserve">The table below shows the total medical costs for each year of the life care plan. </w:t>
      </w:r>
      <w:r>
        <w:t xml:space="preserve">These costs represent all services combined and include inflation adjustments. </w:t>
      </w:r>
      <w:r>
        <w:t>The present value column shows what future costs are worth in today's dollars.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728"/>
        <w:gridCol w:w="2592"/>
        <w:gridCol w:w="2592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Evaluee Age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Total Annual Cost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Present Value Cost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$2,219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$132,990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$124,147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$2,073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$2,004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$1,936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$1,872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$1,809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$1,748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$1,690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$1,633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$1,578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$1,525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$1,474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$1,425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$133,595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$79,741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$1,331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$1,286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$1,243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$1,201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$1,161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$1,122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$1,085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$1,048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$1,013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$979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$946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$915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$884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$854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$826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$798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$771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$745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$720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$696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$673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$650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$629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</w:tr>
    </w:tbl>
    <w:p>
      <w:r>
        <w:br w:type="page"/>
      </w:r>
    </w:p>
    <w:p>
      <w:pPr>
        <w:pStyle w:val="Heading2"/>
      </w:pPr>
      <w:r>
        <w:t>Year-by-Year Loss Schedule</w:t>
      </w:r>
    </w:p>
    <w:p>
      <w:r>
        <w:rPr>
          <w:b/>
        </w:rPr>
        <w:t xml:space="preserve">Loss Schedule Overview: </w:t>
      </w:r>
      <w:r>
        <w:t xml:space="preserve">This section provides a comprehensive year-by-year analysis of projected medical costs, </w:t>
      </w:r>
      <w:r>
        <w:t xml:space="preserve">organized both by overall yearly totals and detailed service category breakdowns. </w:t>
      </w:r>
      <w:r>
        <w:t>This format assists in understanding annual cost patterns and service delivery timing.</w:t>
      </w:r>
    </w:p>
    <w:p/>
    <w:p>
      <w:pPr>
        <w:pStyle w:val="Heading3"/>
      </w:pPr>
      <w:r>
        <w:t>Overall Yearly Summary by Service Category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08"/>
        <w:gridCol w:w="1152"/>
        <w:gridCol w:w="1584"/>
        <w:gridCol w:w="1584"/>
        <w:gridCol w:w="1584"/>
        <w:gridCol w:w="1728"/>
      </w:tblGrid>
      <w:tr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Evaluee Age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Physician Evaluation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Diagnostics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Surgeries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Annual Total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2025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37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$2,296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2026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38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$2,297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2027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39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$130,692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$132,990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2028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$2,298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2029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$2,299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$2,300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$2,301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$2,301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$2,302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$2,303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$2,303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$2,304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$2,305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$2,305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2039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$2,306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$131,288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$133,595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$2,308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$2,308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$2,309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$2,310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$2,310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$2,311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59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$2,312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$2,312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$2,313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$2,314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$2,315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$2,315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$2,316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$2,317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$2,317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$2,318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2057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69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$2,319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2058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70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$2,320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2059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71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$1,871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$2,320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2060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72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$2,321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2061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73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$2,322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2062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74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$2,322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2063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75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$2,323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2064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76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sz w:val="16"/>
              </w:rPr>
              <w:t>$0</w:t>
            </w:r>
          </w:p>
        </w:tc>
      </w:tr>
      <w:tr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TOTALS</w:t>
            </w:r>
          </w:p>
        </w:tc>
        <w:tc>
          <w:tcPr>
            <w:tcW w:type="dxa" w:w="2400"/>
          </w:tcPr>
          <w:p>
            <w:r/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$17,435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$72,642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$261,980</w:t>
            </w:r>
          </w:p>
        </w:tc>
        <w:tc>
          <w:tcPr>
            <w:tcW w:type="dxa" w:w="2400"/>
          </w:tcPr>
          <w:p>
            <w:pPr>
              <w:jc w:val="center"/>
            </w:pPr>
            <w:r>
              <w:rPr>
                <w:b/>
                <w:sz w:val="18"/>
              </w:rPr>
              <w:t>$352,057</w:t>
            </w:r>
          </w:p>
        </w:tc>
      </w:tr>
    </w:tbl>
    <w:p/>
    <w:p>
      <w:r>
        <w:rPr>
          <w:b/>
        </w:rPr>
        <w:t xml:space="preserve">Summary Table Explanation: </w:t>
      </w:r>
      <w:r>
        <w:t xml:space="preserve">This table shows the total cost for each service category by year. </w:t>
      </w:r>
      <w:r>
        <w:t xml:space="preserve">Reading across each row shows the annual cost distribution across different types of medical services. </w:t>
      </w:r>
      <w:r>
        <w:t>Reading down each column shows how costs for a specific service category change over time due to inflation and service timing.</w:t>
      </w:r>
    </w:p>
    <w:p>
      <w:r>
        <w:br w:type="page"/>
      </w:r>
    </w:p>
    <w:p>
      <w:pPr>
        <w:pStyle w:val="Heading2"/>
      </w:pPr>
      <w:r>
        <w:t>Detailed Year-by-Year Service Breakdown by Category</w:t>
      </w:r>
    </w:p>
    <w:p>
      <w:r>
        <w:rPr>
          <w:b/>
        </w:rPr>
        <w:t xml:space="preserve">Year-by-Year Service Details: </w:t>
      </w:r>
      <w:r>
        <w:t xml:space="preserve">The following section shows exactly which services are provided each year and their individual costs. </w:t>
      </w:r>
      <w:r>
        <w:t>This detailed breakdown helps you understand what drives the costs in each year of the plan.</w:t>
      </w:r>
    </w:p>
    <w:p/>
    <w:p>
      <w:r>
        <w:rPr>
          <w:b/>
        </w:rPr>
        <w:t xml:space="preserve">Cross-Verification Notice: </w:t>
      </w:r>
      <w:r>
        <w:t xml:space="preserve">All calculations in this detailed breakdown use identical mathematical methods as the Summary Schedule above. </w:t>
      </w:r>
      <w:r>
        <w:t xml:space="preserve">Year totals in this section should match corresponding years in the Annual Cost Schedule Summary. </w:t>
      </w:r>
      <w:r>
        <w:t>Any discrepancies indicate calculation errors that require correction.</w:t>
      </w:r>
    </w:p>
    <w:p/>
    <w:p>
      <w:pPr>
        <w:pStyle w:val="Heading3"/>
      </w:pPr>
      <w:r>
        <w:t>Year 2025 (Evaluee Age: 37)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$2,296</w:t>
            </w:r>
          </w:p>
        </w:tc>
      </w:tr>
    </w:tbl>
    <w:p/>
    <w:p>
      <w:pPr>
        <w:pStyle w:val="Heading3"/>
      </w:pPr>
      <w:r>
        <w:t>Year 2026 (Evaluee Age: 38)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$429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$1,790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$2,219</w:t>
            </w:r>
          </w:p>
        </w:tc>
      </w:tr>
    </w:tbl>
    <w:p/>
    <w:p>
      <w:pPr>
        <w:pStyle w:val="Heading3"/>
      </w:pPr>
      <w:r>
        <w:t>Year 2027 (Evaluee Age: 39)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$415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$1,730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Surgeries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Shoulder Arthroscopy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$130,692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$122,002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$132,990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$124,147</w:t>
            </w:r>
          </w:p>
        </w:tc>
      </w:tr>
    </w:tbl>
    <w:p/>
    <w:p>
      <w:pPr>
        <w:pStyle w:val="Heading3"/>
      </w:pPr>
      <w:r>
        <w:t>Year 2028 (Evaluee Age: 40)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$401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$1,672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$2,073</w:t>
            </w:r>
          </w:p>
        </w:tc>
      </w:tr>
    </w:tbl>
    <w:p/>
    <w:p>
      <w:pPr>
        <w:pStyle w:val="Heading3"/>
      </w:pPr>
      <w:r>
        <w:t>Year 2029 (Evaluee Age: 41)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$388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$1,616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$2,004</w:t>
            </w:r>
          </w:p>
        </w:tc>
      </w:tr>
    </w:tbl>
    <w:p/>
    <w:p>
      <w:pPr>
        <w:pStyle w:val="Heading3"/>
      </w:pPr>
      <w:r>
        <w:t>Year 2030 (Evaluee Age: 42)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$375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$1,562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$1,936</w:t>
            </w:r>
          </w:p>
        </w:tc>
      </w:tr>
    </w:tbl>
    <w:p/>
    <w:p>
      <w:pPr>
        <w:pStyle w:val="Heading3"/>
      </w:pPr>
      <w:r>
        <w:t>Year 2031 (Evaluee Age: 43)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$362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$1,509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$1,871</w:t>
            </w:r>
          </w:p>
        </w:tc>
      </w:tr>
    </w:tbl>
    <w:p/>
    <w:p>
      <w:pPr>
        <w:pStyle w:val="Heading3"/>
      </w:pPr>
      <w:r>
        <w:t>Year 2032 (Evaluee Age: 44)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$350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$1,459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$1,809</w:t>
            </w:r>
          </w:p>
        </w:tc>
      </w:tr>
    </w:tbl>
    <w:p/>
    <w:p>
      <w:pPr>
        <w:pStyle w:val="Heading3"/>
      </w:pPr>
      <w:r>
        <w:t>Year 2033 (Evaluee Age: 45)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$338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$1,410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$1,748</w:t>
            </w:r>
          </w:p>
        </w:tc>
      </w:tr>
    </w:tbl>
    <w:p/>
    <w:p>
      <w:pPr>
        <w:pStyle w:val="Heading3"/>
      </w:pPr>
      <w:r>
        <w:t>Year 2034 (Evaluee Age: 46)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$327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$1,363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$1,690</w:t>
            </w:r>
          </w:p>
        </w:tc>
      </w:tr>
    </w:tbl>
    <w:p/>
    <w:p>
      <w:pPr>
        <w:pStyle w:val="Heading3"/>
      </w:pPr>
      <w:r>
        <w:t>Year 2035 (Evaluee Age: 47)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$316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$1,317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$1,633</w:t>
            </w:r>
          </w:p>
        </w:tc>
      </w:tr>
    </w:tbl>
    <w:p/>
    <w:p>
      <w:pPr>
        <w:pStyle w:val="Heading3"/>
      </w:pPr>
      <w:r>
        <w:t>Year 2036 (Evaluee Age: 48)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$305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$1,273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$1,578</w:t>
            </w:r>
          </w:p>
        </w:tc>
      </w:tr>
    </w:tbl>
    <w:p/>
    <w:p>
      <w:pPr>
        <w:pStyle w:val="Heading3"/>
      </w:pPr>
      <w:r>
        <w:t>Year 2037 (Evaluee Age: 49)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$295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$1,230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$1,525</w:t>
            </w:r>
          </w:p>
        </w:tc>
      </w:tr>
    </w:tbl>
    <w:p/>
    <w:p>
      <w:pPr>
        <w:pStyle w:val="Heading3"/>
      </w:pPr>
      <w:r>
        <w:t>Year 2038 (Evaluee Age: 50)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$285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$1,189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$1,474</w:t>
            </w:r>
          </w:p>
        </w:tc>
      </w:tr>
    </w:tbl>
    <w:p/>
    <w:p>
      <w:pPr>
        <w:pStyle w:val="Heading3"/>
      </w:pPr>
      <w:r>
        <w:t>Year 2039 (Evaluee Age: 51)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$276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$1,149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$1,425</w:t>
            </w:r>
          </w:p>
        </w:tc>
      </w:tr>
    </w:tbl>
    <w:p/>
    <w:p>
      <w:pPr>
        <w:pStyle w:val="Heading3"/>
      </w:pPr>
      <w:r>
        <w:t>Year 2040 (Evaluee Age: 52)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$266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$1,110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Surgeries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Shoulder Arthroscopy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$131,288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$78,364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$133,595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$79,741</w:t>
            </w:r>
          </w:p>
        </w:tc>
      </w:tr>
    </w:tbl>
    <w:p/>
    <w:p>
      <w:pPr>
        <w:pStyle w:val="Heading3"/>
      </w:pPr>
      <w:r>
        <w:t>Year 2041 (Evaluee Age: 53)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$258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$1,073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$1,331</w:t>
            </w:r>
          </w:p>
        </w:tc>
      </w:tr>
    </w:tbl>
    <w:p/>
    <w:p>
      <w:pPr>
        <w:pStyle w:val="Heading3"/>
      </w:pPr>
      <w:r>
        <w:t>Year 2042 (Evaluee Age: 54)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$249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$1,037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$1,286</w:t>
            </w:r>
          </w:p>
        </w:tc>
      </w:tr>
    </w:tbl>
    <w:p/>
    <w:p>
      <w:pPr>
        <w:pStyle w:val="Heading3"/>
      </w:pPr>
      <w:r>
        <w:t>Year 2043 (Evaluee Age: 55)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$241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$1,243</w:t>
            </w:r>
          </w:p>
        </w:tc>
      </w:tr>
    </w:tbl>
    <w:p/>
    <w:p>
      <w:pPr>
        <w:pStyle w:val="Heading3"/>
      </w:pPr>
      <w:r>
        <w:t>Year 2044 (Evaluee Age: 56)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$233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$969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$1,201</w:t>
            </w:r>
          </w:p>
        </w:tc>
      </w:tr>
    </w:tbl>
    <w:p/>
    <w:p>
      <w:pPr>
        <w:pStyle w:val="Heading3"/>
      </w:pPr>
      <w:r>
        <w:t>Year 2045 (Evaluee Age: 57)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$225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$936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$1,161</w:t>
            </w:r>
          </w:p>
        </w:tc>
      </w:tr>
    </w:tbl>
    <w:p/>
    <w:p>
      <w:pPr>
        <w:pStyle w:val="Heading3"/>
      </w:pPr>
      <w:r>
        <w:t>Year 2046 (Evaluee Age: 58)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$905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$1,122</w:t>
            </w:r>
          </w:p>
        </w:tc>
      </w:tr>
    </w:tbl>
    <w:p/>
    <w:p>
      <w:pPr>
        <w:pStyle w:val="Heading3"/>
      </w:pPr>
      <w:r>
        <w:t>Year 2047 (Evaluee Age: 59)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$875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$1,085</w:t>
            </w:r>
          </w:p>
        </w:tc>
      </w:tr>
    </w:tbl>
    <w:p/>
    <w:p>
      <w:pPr>
        <w:pStyle w:val="Heading3"/>
      </w:pPr>
      <w:r>
        <w:t>Year 2048 (Evaluee Age: 60)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$203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$845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$1,048</w:t>
            </w:r>
          </w:p>
        </w:tc>
      </w:tr>
    </w:tbl>
    <w:p/>
    <w:p>
      <w:pPr>
        <w:pStyle w:val="Heading3"/>
      </w:pPr>
      <w:r>
        <w:t>Year 2049 (Evaluee Age: 61)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$196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$817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$1,013</w:t>
            </w:r>
          </w:p>
        </w:tc>
      </w:tr>
    </w:tbl>
    <w:p/>
    <w:p>
      <w:pPr>
        <w:pStyle w:val="Heading3"/>
      </w:pPr>
      <w:r>
        <w:t>Year 2050 (Evaluee Age: 62)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$190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$790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$979</w:t>
            </w:r>
          </w:p>
        </w:tc>
      </w:tr>
    </w:tbl>
    <w:p/>
    <w:p>
      <w:pPr>
        <w:pStyle w:val="Heading3"/>
      </w:pPr>
      <w:r>
        <w:t>Year 2051 (Evaluee Age: 63)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$183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$763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$946</w:t>
            </w:r>
          </w:p>
        </w:tc>
      </w:tr>
    </w:tbl>
    <w:p/>
    <w:p>
      <w:pPr>
        <w:pStyle w:val="Heading3"/>
      </w:pPr>
      <w:r>
        <w:t>Year 2052 (Evaluee Age: 64)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$177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$738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$915</w:t>
            </w:r>
          </w:p>
        </w:tc>
      </w:tr>
    </w:tbl>
    <w:p/>
    <w:p>
      <w:pPr>
        <w:pStyle w:val="Heading3"/>
      </w:pPr>
      <w:r>
        <w:t>Year 2053 (Evaluee Age: 65)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$171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$713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$884</w:t>
            </w:r>
          </w:p>
        </w:tc>
      </w:tr>
    </w:tbl>
    <w:p/>
    <w:p>
      <w:pPr>
        <w:pStyle w:val="Heading3"/>
      </w:pPr>
      <w:r>
        <w:t>Year 2054 (Evaluee Age: 66)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$165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$689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$854</w:t>
            </w:r>
          </w:p>
        </w:tc>
      </w:tr>
    </w:tbl>
    <w:p/>
    <w:p>
      <w:pPr>
        <w:pStyle w:val="Heading3"/>
      </w:pPr>
      <w:r>
        <w:t>Year 2055 (Evaluee Age: 67)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$160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$666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$826</w:t>
            </w:r>
          </w:p>
        </w:tc>
      </w:tr>
    </w:tbl>
    <w:p/>
    <w:p>
      <w:pPr>
        <w:pStyle w:val="Heading3"/>
      </w:pPr>
      <w:r>
        <w:t>Year 2056 (Evaluee Age: 68)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$154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$643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$798</w:t>
            </w:r>
          </w:p>
        </w:tc>
      </w:tr>
    </w:tbl>
    <w:p/>
    <w:p>
      <w:pPr>
        <w:pStyle w:val="Heading3"/>
      </w:pPr>
      <w:r>
        <w:t>Year 2057 (Evaluee Age: 69)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$149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$622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$771</w:t>
            </w:r>
          </w:p>
        </w:tc>
      </w:tr>
    </w:tbl>
    <w:p/>
    <w:p>
      <w:pPr>
        <w:pStyle w:val="Heading3"/>
      </w:pPr>
      <w:r>
        <w:t>Year 2058 (Evaluee Age: 70)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$144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$601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$745</w:t>
            </w:r>
          </w:p>
        </w:tc>
      </w:tr>
    </w:tbl>
    <w:p/>
    <w:p>
      <w:pPr>
        <w:pStyle w:val="Heading3"/>
      </w:pPr>
      <w:r>
        <w:t>Year 2059 (Evaluee Age: 71)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$581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$720</w:t>
            </w:r>
          </w:p>
        </w:tc>
      </w:tr>
    </w:tbl>
    <w:p/>
    <w:p>
      <w:pPr>
        <w:pStyle w:val="Heading3"/>
      </w:pPr>
      <w:r>
        <w:t>Year 2060 (Evaluee Age: 72)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$561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$696</w:t>
            </w:r>
          </w:p>
        </w:tc>
      </w:tr>
    </w:tbl>
    <w:p/>
    <w:p>
      <w:pPr>
        <w:pStyle w:val="Heading3"/>
      </w:pPr>
      <w:r>
        <w:t>Year 2061 (Evaluee Age: 73)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$543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$673</w:t>
            </w:r>
          </w:p>
        </w:tc>
      </w:tr>
    </w:tbl>
    <w:p/>
    <w:p>
      <w:pPr>
        <w:pStyle w:val="Heading3"/>
      </w:pPr>
      <w:r>
        <w:t>Year 2062 (Evaluee Age: 74)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$126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$524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$650</w:t>
            </w:r>
          </w:p>
        </w:tc>
      </w:tr>
    </w:tbl>
    <w:p/>
    <w:p>
      <w:pPr>
        <w:pStyle w:val="Heading3"/>
      </w:pPr>
      <w:r>
        <w:t>Year 2063 (Evaluee Age: 75)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$122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$507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$629</w:t>
            </w:r>
          </w:p>
        </w:tc>
      </w:tr>
    </w:tbl>
    <w:p/>
    <w:p>
      <w:pPr>
        <w:pStyle w:val="Heading3"/>
      </w:pPr>
      <w:r>
        <w:t>Year 2064 (Evaluee Age: 76)</w:t>
      </w:r>
    </w:p>
    <w:p>
      <w:r>
        <w:rPr>
          <w:i/>
        </w:rPr>
        <w:t>No medical services scheduled for this year.</w:t>
      </w:r>
    </w:p>
    <w:p/>
    <w:p>
      <w:r>
        <w:br w:type="page"/>
      </w:r>
    </w:p>
    <w:p>
      <w:pPr>
        <w:pStyle w:val="Heading2"/>
      </w:pPr>
      <w:r>
        <w:t>Calculation Cross-Verification and Quality Control</w:t>
      </w:r>
    </w:p>
    <w:p>
      <w:r>
        <w:rPr>
          <w:b/>
        </w:rPr>
        <w:t xml:space="preserve">Quality Control Verification: </w:t>
      </w:r>
      <w:r>
        <w:t>The following cross-checks ensure calculation accuracy and consistency throughout this report:</w:t>
      </w:r>
    </w:p>
    <w:p/>
    <w:p>
      <w:r>
        <w:rPr>
          <w:b/>
        </w:rPr>
        <w:t xml:space="preserve">Check 1 - Category Totals vs Executive Summary: </w:t>
      </w:r>
      <w:r>
        <w:t xml:space="preserve">Sum of all category totals: $352,056.73. </w:t>
      </w:r>
      <w:r>
        <w:t xml:space="preserve">Executive summary total: $352,056.73.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2 - Average Annual Cost Calculation: </w:t>
      </w:r>
      <w:r>
        <w:t xml:space="preserve">Total cost ÷ 39 years = $9,027.10. </w:t>
      </w:r>
      <w:r>
        <w:t xml:space="preserve">Reported average: $9,027.10.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3 - Schedule Summary vs Detailed Breakdown: </w:t>
      </w:r>
      <w:r>
        <w:rPr>
          <w:b/>
        </w:rPr>
        <w:t>✓ MATCH - All tested years match between Schedule Summary and Detailed Breakdown.</w:t>
      </w:r>
    </w:p>
    <w:p/>
    <w:p>
      <w:r>
        <w:rPr>
          <w:b/>
        </w:rPr>
        <w:t xml:space="preserve">Check 4 - Total Sum Verification: </w:t>
      </w:r>
      <w:r>
        <w:t xml:space="preserve">Schedule 39.4-year sum: $352,056.73. </w:t>
      </w:r>
      <w:r>
        <w:t xml:space="preserve">Detailed 39.4-year sum: $352,056.73. </w:t>
      </w:r>
      <w:r>
        <w:t xml:space="preserve">Executive total: $352,056.73. </w:t>
      </w:r>
      <w:r>
        <w:rPr>
          <w:b/>
        </w:rPr>
        <w:t>✓ ALL MATCH - Perfect reconciliation across all sections.</w:t>
      </w:r>
    </w:p>
    <w:p/>
    <w:p>
      <w:r>
        <w:rPr>
          <w:b/>
        </w:rPr>
        <w:t xml:space="preserve">Check 5 - Quality Control Matrix Validation: </w:t>
      </w:r>
      <w:r>
        <w:t xml:space="preserve">Matrix reconciliation test: </w:t>
      </w:r>
      <w:r>
        <w:rPr>
          <w:b/>
        </w:rPr>
        <w:t>✓ PASS - Discrepancy of $0.00 (&lt; $1.00).</w:t>
      </w:r>
      <w:r>
        <w:t xml:space="preserve"> Sum of lifetime costs: $352,056.73. </w:t>
      </w:r>
      <w:r>
        <w:t>Sum of annual schedule: $352,056.73.</w:t>
      </w:r>
    </w:p>
    <w:p/>
    <w:p>
      <w:r>
        <w:rPr>
          <w:b/>
        </w:rPr>
        <w:t xml:space="preserve">Matrix Validation Method: </w:t>
      </w:r>
      <w:r>
        <w:t xml:space="preserve">This test implements the audit-recommended quality control template: </w:t>
      </w:r>
      <w:r>
        <w:t xml:space="preserve">(1) Extract service master table; </w:t>
      </w:r>
      <w:r>
        <w:t xml:space="preserve">(2) Generate yearly cost matrices using Cost[year,service] = UnitCost × Frequency × (1+inflation)^years; </w:t>
      </w:r>
      <w:r>
        <w:t xml:space="preserve">(3) Calculate row-sums (annual totals) and column-sums (lifetime costs); </w:t>
      </w:r>
      <w:r>
        <w:t xml:space="preserve">(4) Verify absolute difference &lt; $1.00. </w:t>
      </w:r>
      <w:r>
        <w:t>This ensures mathematical lock-step across all presentation layers.</w:t>
      </w:r>
    </w:p>
    <w:p/>
    <w:p>
      <w:r>
        <w:rPr>
          <w:b/>
        </w:rPr>
        <w:t xml:space="preserve">Mathematical Accuracy Statement: </w:t>
      </w:r>
      <w:r>
        <w:t xml:space="preserve">All calculations in this report use established financial mathematics with consistent </w:t>
      </w:r>
      <w:r>
        <w:t xml:space="preserve">inflation compounding and present value discounting. Rounding is applied consistently </w:t>
      </w:r>
      <w:r>
        <w:t xml:space="preserve">to the nearest cent. All computational methods are reproducible and subject to </w:t>
      </w:r>
      <w:r>
        <w:t>independent verification through cross-examination.</w:t>
      </w:r>
    </w:p>
    <w:p/>
    <w:p/>
    <w:p>
      <w:r>
        <w:br w:type="page"/>
      </w:r>
    </w:p>
    <w:p>
      <w:pPr>
        <w:pStyle w:val="Heading2"/>
      </w:pPr>
      <w:r>
        <w:t>Cost Visualization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353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chart_20250618_0825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53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