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LIFE CARE PLAN - MULTI-SCENARIO ANALYSIS</w:t>
      </w:r>
    </w:p>
    <w:p>
      <w:pPr>
        <w:pStyle w:val="Heading2"/>
        <w:jc w:val="center"/>
      </w:pPr>
      <w:r>
        <w:t>Scenario Comparison and Economic Analysis</w:t>
      </w:r>
    </w:p>
    <w:p/>
    <w:p>
      <w:pPr>
        <w:jc w:val="center"/>
      </w:pPr>
      <w:r>
        <w:rPr>
          <w:b/>
        </w:rPr>
        <w:t xml:space="preserve">Prepared for: </w:t>
      </w:r>
      <w:r>
        <w:rPr>
          <w:b/>
        </w:rPr>
        <w:t>Multi-Scenario Test Patient</w:t>
      </w:r>
    </w:p>
    <w:p/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7200"/>
          </w:tcPr>
          <w:p>
            <w:r>
              <w:t>June 18, 2025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Number of Scenarios:</w:t>
            </w:r>
          </w:p>
        </w:tc>
        <w:tc>
          <w:tcPr>
            <w:tcW w:type="dxa" w:w="7200"/>
          </w:tcPr>
          <w:p>
            <w:r>
              <w:t>3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Base Year:</w:t>
            </w:r>
          </w:p>
        </w:tc>
        <w:tc>
          <w:tcPr>
            <w:tcW w:type="dxa" w:w="7200"/>
          </w:tcPr>
          <w:p>
            <w:r>
              <w:t>2025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Projection Period:</w:t>
            </w:r>
          </w:p>
        </w:tc>
        <w:tc>
          <w:tcPr>
            <w:tcW w:type="dxa" w:w="7200"/>
          </w:tcPr>
          <w:p>
            <w:r>
              <w:t>10.0 years</w:t>
            </w:r>
          </w:p>
        </w:tc>
      </w:tr>
    </w:tbl>
    <w:p/>
    <w:p/>
    <w:p>
      <w:pPr>
        <w:pStyle w:val="Heading2"/>
      </w:pPr>
      <w:r>
        <w:t>Executive Scenario Comparison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Metric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Baseline - Conservative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Moderate Care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Intensive Care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Total Nominal Cost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$37,297.29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$123,121.59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$214,461.20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Total Present Value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$31,822.62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$105,047.70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$200,301.70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Average Annual Cost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$3,729.73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$12,312.16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$21,446.12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First Year Cost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$3,230.00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$10,660.00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$46,800.00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Last Year Cost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$4,272.68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$14,107.58</w:t>
            </w:r>
          </w:p>
        </w:tc>
        <w:tc>
          <w:tcPr>
            <w:tcW w:type="dxa" w:w="3600"/>
          </w:tcPr>
          <w:p>
            <w:pPr>
              <w:jc w:val="right"/>
            </w:pPr>
            <w:r>
              <w:rPr>
                <w:sz w:val="18"/>
              </w:rPr>
              <w:t>$5,385.02</w:t>
            </w:r>
          </w:p>
        </w:tc>
      </w:tr>
    </w:tbl>
    <w:p/>
    <w:p>
      <w:pPr>
        <w:pStyle w:val="Heading2"/>
      </w:pPr>
      <w:r>
        <w:t>Variance Analysis</w:t>
      </w:r>
    </w:p>
    <w:p>
      <w:r>
        <w:rPr>
          <w:b/>
        </w:rPr>
        <w:t xml:space="preserve">Baseline Scenario: </w:t>
      </w:r>
      <w:r>
        <w:t>Baseline - Conservative - $37,297.29 total nominal cost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Scenario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Difference from Baseline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Percentage Change</w:t>
            </w:r>
          </w:p>
        </w:tc>
      </w:tr>
      <w:tr>
        <w:tc>
          <w:tcPr>
            <w:tcW w:type="dxa" w:w="4800"/>
          </w:tcPr>
          <w:p>
            <w:pPr>
              <w:jc w:val="center"/>
            </w:pPr>
            <w:r>
              <w:rPr>
                <w:sz w:val="18"/>
              </w:rPr>
              <w:t>Moderate Care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sz w:val="18"/>
              </w:rPr>
              <w:t>$+85,824.30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sz w:val="18"/>
              </w:rPr>
              <w:t>+230.1%</w:t>
            </w:r>
          </w:p>
        </w:tc>
      </w:tr>
      <w:tr>
        <w:tc>
          <w:tcPr>
            <w:tcW w:type="dxa" w:w="4800"/>
          </w:tcPr>
          <w:p>
            <w:pPr>
              <w:jc w:val="center"/>
            </w:pPr>
            <w:r>
              <w:rPr>
                <w:sz w:val="18"/>
              </w:rPr>
              <w:t>Intensive Care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sz w:val="18"/>
              </w:rPr>
              <w:t>$+177,163.91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sz w:val="18"/>
              </w:rPr>
              <w:t>+475.0%</w:t>
            </w:r>
          </w:p>
        </w:tc>
      </w:tr>
    </w:tbl>
    <w:p/>
    <w:p>
      <w:r>
        <w:br w:type="page"/>
      </w:r>
    </w:p>
    <w:p>
      <w:pPr>
        <w:pStyle w:val="Heading2"/>
      </w:pPr>
      <w:r>
        <w:t>Individual Scenario Details</w:t>
      </w:r>
    </w:p>
    <w:p>
      <w:pPr>
        <w:pStyle w:val="Heading3"/>
      </w:pPr>
      <w:r>
        <w:t>Scenario: Baseline - Conservative</w:t>
      </w:r>
    </w:p>
    <w:p>
      <w:r>
        <w:rPr>
          <w:b/>
        </w:rPr>
        <w:t xml:space="preserve">Description: </w:t>
      </w:r>
      <w:r>
        <w:t>Conservative treatment approach with minimal intervention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Service Category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Total Nominal Cost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Total Present Value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18"/>
              </w:rPr>
              <w:t>Basic Therapy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$33,321.70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$28,427.24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18"/>
              </w:rPr>
              <w:t>Medical Care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$3,975.59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$3,395.37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b/>
              </w:rPr>
              <w:t>TOTAL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</w:rPr>
              <w:t>$37,297.29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</w:rPr>
              <w:t>$31,822.61</w:t>
            </w:r>
          </w:p>
        </w:tc>
      </w:tr>
    </w:tbl>
    <w:p/>
    <w:p/>
    <w:p>
      <w:pPr>
        <w:pStyle w:val="Heading3"/>
      </w:pPr>
      <w:r>
        <w:t>Scenario: Moderate Care</w:t>
      </w:r>
    </w:p>
    <w:p>
      <w:r>
        <w:rPr>
          <w:b/>
        </w:rPr>
        <w:t xml:space="preserve">Description: </w:t>
      </w:r>
      <w:r>
        <w:t>Moderate treatment intensity with additional therapies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Service Category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Total Nominal Cost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Total Present Value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18"/>
              </w:rPr>
              <w:t>Enhanced Therapy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$101,353.50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$86,466.20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18"/>
              </w:rPr>
              <w:t>Medical Care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$21,768.09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$18,581.51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b/>
              </w:rPr>
              <w:t>TOTAL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</w:rPr>
              <w:t>$123,121.59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</w:rPr>
              <w:t>$105,047.71</w:t>
            </w:r>
          </w:p>
        </w:tc>
      </w:tr>
    </w:tbl>
    <w:p/>
    <w:p/>
    <w:p>
      <w:pPr>
        <w:pStyle w:val="Heading3"/>
      </w:pPr>
      <w:r>
        <w:t>Scenario: Intensive Care</w:t>
      </w:r>
    </w:p>
    <w:p>
      <w:r>
        <w:rPr>
          <w:b/>
        </w:rPr>
        <w:t xml:space="preserve">Description: </w:t>
      </w:r>
      <w:r>
        <w:t>Intensive treatment with distributed cognitive therapy sessions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Service Category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Total Nominal Cost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</w:rPr>
              <w:t>Total Present Value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18"/>
              </w:rPr>
              <w:t>Intensive Therapy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$139,973.40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$134,557.16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18"/>
              </w:rPr>
              <w:t>Medical Care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$74,487.80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18"/>
              </w:rPr>
              <w:t>$65,744.54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b/>
              </w:rPr>
              <w:t>TOTAL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</w:rPr>
              <w:t>$214,461.20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</w:rPr>
              <w:t>$200,301.70</w:t>
            </w:r>
          </w:p>
        </w:tc>
      </w:tr>
    </w:tbl>
    <w:p/>
    <w:p/>
    <w:p>
      <w:r>
        <w:br w:type="page"/>
      </w:r>
    </w:p>
    <w:p>
      <w:pPr>
        <w:pStyle w:val="Heading2"/>
      </w:pPr>
      <w:r>
        <w:t>Multi-Scenario Analysis Methodology</w:t>
      </w:r>
    </w:p>
    <w:p>
      <w:r>
        <w:rPr>
          <w:b/>
        </w:rPr>
        <w:t xml:space="preserve">Scenario Analysis Purpose: </w:t>
      </w:r>
      <w:r>
        <w:t xml:space="preserve">Multiple scenarios allow evaluation of different treatment approaches, </w:t>
      </w:r>
      <w:r>
        <w:t xml:space="preserve">service intensity levels, or economic assumptions. Each scenario represents </w:t>
      </w:r>
      <w:r>
        <w:t xml:space="preserve">a distinct set of medical services and associated costs, enabling </w:t>
      </w:r>
      <w:r>
        <w:t>comprehensive comparison for decision-making purposes.</w:t>
      </w:r>
    </w:p>
    <w:p/>
    <w:p>
      <w:r>
        <w:rPr>
          <w:b/>
        </w:rPr>
        <w:t xml:space="preserve">Calculation Consistency: </w:t>
      </w:r>
      <w:r>
        <w:t xml:space="preserve">All scenarios use identical mathematical methods for inflation </w:t>
      </w:r>
      <w:r>
        <w:t xml:space="preserve">adjustment and present value calculation. Differences in results </w:t>
      </w:r>
      <w:r>
        <w:t xml:space="preserve">reflect only differences in service specifications, not calculation methods. </w:t>
      </w:r>
      <w:r>
        <w:t>This ensures accurate comparison between scenarios.</w:t>
      </w:r>
    </w:p>
    <w:sectPr w:rsidR="00FC693F" w:rsidRPr="0006063C" w:rsidSect="00034616"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