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31B66" w14:textId="4E2DDA56" w:rsidR="0074233E" w:rsidRDefault="00965171" w:rsidP="00965171">
      <w:pPr>
        <w:pStyle w:val="Heading1"/>
        <w:jc w:val="center"/>
      </w:pPr>
      <w:r>
        <w:t xml:space="preserve">Does the Stock Market Value Affect Housing </w:t>
      </w:r>
      <w:proofErr w:type="gramStart"/>
      <w:r w:rsidR="00F502ED">
        <w:t>Prices</w:t>
      </w:r>
      <w:proofErr w:type="gramEnd"/>
    </w:p>
    <w:p w14:paraId="6CF94EAC" w14:textId="334C1306" w:rsidR="00965171" w:rsidRDefault="00965171" w:rsidP="00965171"/>
    <w:p w14:paraId="08828E72" w14:textId="38588752" w:rsidR="00965171" w:rsidRDefault="00965171" w:rsidP="00965171"/>
    <w:p w14:paraId="4F86D13C" w14:textId="7BD9F7C9" w:rsidR="008E013D" w:rsidRDefault="008E013D" w:rsidP="008E013D">
      <w:pPr>
        <w:pStyle w:val="Subtitle"/>
      </w:pPr>
      <w:r>
        <w:t>Data</w:t>
      </w:r>
    </w:p>
    <w:p w14:paraId="1AB4D567" w14:textId="5106B7F3" w:rsidR="008E013D" w:rsidRDefault="008E013D" w:rsidP="008E013D">
      <w:r>
        <w:t xml:space="preserve">Monthly stock market index data was obtained through the yahoo finance API using the python </w:t>
      </w:r>
      <w:proofErr w:type="spellStart"/>
      <w:proofErr w:type="gramStart"/>
      <w:r>
        <w:t>api</w:t>
      </w:r>
      <w:proofErr w:type="spellEnd"/>
      <w:r>
        <w:t xml:space="preserve">  </w:t>
      </w:r>
      <w:r w:rsidRPr="008E013D">
        <w:t>https://pypi.org/project/yfinance/</w:t>
      </w:r>
      <w:proofErr w:type="gramEnd"/>
      <w:r>
        <w:t xml:space="preserve">  Three CSV files were created. These files were named djii_1m.csv, nasdaq_1m.csv, and sp500_1m.csv.  Each of these files contained the following columns: </w:t>
      </w:r>
    </w:p>
    <w:tbl>
      <w:tblPr>
        <w:tblStyle w:val="TableGrid"/>
        <w:tblW w:w="0" w:type="auto"/>
        <w:tblLook w:val="04A0" w:firstRow="1" w:lastRow="0" w:firstColumn="1" w:lastColumn="0" w:noHBand="0" w:noVBand="1"/>
      </w:tblPr>
      <w:tblGrid>
        <w:gridCol w:w="1525"/>
        <w:gridCol w:w="1145"/>
        <w:gridCol w:w="1336"/>
        <w:gridCol w:w="1336"/>
        <w:gridCol w:w="1336"/>
        <w:gridCol w:w="1336"/>
        <w:gridCol w:w="1336"/>
      </w:tblGrid>
      <w:tr w:rsidR="008E013D" w14:paraId="4254CA76" w14:textId="77777777" w:rsidTr="00F43A0D">
        <w:tc>
          <w:tcPr>
            <w:tcW w:w="1525" w:type="dxa"/>
            <w:shd w:val="clear" w:color="auto" w:fill="FFC000"/>
          </w:tcPr>
          <w:p w14:paraId="22EE6003" w14:textId="1F251DBE" w:rsidR="008E013D" w:rsidRPr="008E013D" w:rsidRDefault="008E013D" w:rsidP="008E013D">
            <w:pPr>
              <w:jc w:val="center"/>
              <w:rPr>
                <w:b/>
                <w:bCs/>
              </w:rPr>
            </w:pPr>
            <w:r w:rsidRPr="008E013D">
              <w:rPr>
                <w:b/>
                <w:bCs/>
              </w:rPr>
              <w:t>Date</w:t>
            </w:r>
          </w:p>
        </w:tc>
        <w:tc>
          <w:tcPr>
            <w:tcW w:w="1145" w:type="dxa"/>
          </w:tcPr>
          <w:p w14:paraId="2DE60D63" w14:textId="1E476CF7" w:rsidR="008E013D" w:rsidRPr="008E013D" w:rsidRDefault="008E013D" w:rsidP="008E013D">
            <w:pPr>
              <w:jc w:val="center"/>
              <w:rPr>
                <w:b/>
                <w:bCs/>
              </w:rPr>
            </w:pPr>
            <w:r w:rsidRPr="008E013D">
              <w:rPr>
                <w:b/>
                <w:bCs/>
              </w:rPr>
              <w:t>Open</w:t>
            </w:r>
          </w:p>
        </w:tc>
        <w:tc>
          <w:tcPr>
            <w:tcW w:w="1336" w:type="dxa"/>
          </w:tcPr>
          <w:p w14:paraId="6D9C4E94" w14:textId="352B1457" w:rsidR="008E013D" w:rsidRPr="008E013D" w:rsidRDefault="008E013D" w:rsidP="008E013D">
            <w:pPr>
              <w:jc w:val="center"/>
              <w:rPr>
                <w:b/>
                <w:bCs/>
              </w:rPr>
            </w:pPr>
            <w:r w:rsidRPr="008E013D">
              <w:rPr>
                <w:b/>
                <w:bCs/>
              </w:rPr>
              <w:t>High</w:t>
            </w:r>
          </w:p>
        </w:tc>
        <w:tc>
          <w:tcPr>
            <w:tcW w:w="1336" w:type="dxa"/>
          </w:tcPr>
          <w:p w14:paraId="207F65C6" w14:textId="1933B54B" w:rsidR="008E013D" w:rsidRPr="008E013D" w:rsidRDefault="008E013D" w:rsidP="008E013D">
            <w:pPr>
              <w:jc w:val="center"/>
              <w:rPr>
                <w:b/>
                <w:bCs/>
              </w:rPr>
            </w:pPr>
            <w:r w:rsidRPr="008E013D">
              <w:rPr>
                <w:b/>
                <w:bCs/>
              </w:rPr>
              <w:t>Low</w:t>
            </w:r>
          </w:p>
        </w:tc>
        <w:tc>
          <w:tcPr>
            <w:tcW w:w="1336" w:type="dxa"/>
            <w:shd w:val="clear" w:color="auto" w:fill="FFC000"/>
          </w:tcPr>
          <w:p w14:paraId="527026E2" w14:textId="1F6AF59C" w:rsidR="008E013D" w:rsidRPr="008E013D" w:rsidRDefault="008E013D" w:rsidP="008E013D">
            <w:pPr>
              <w:jc w:val="center"/>
              <w:rPr>
                <w:b/>
                <w:bCs/>
              </w:rPr>
            </w:pPr>
            <w:r w:rsidRPr="008E013D">
              <w:rPr>
                <w:b/>
                <w:bCs/>
              </w:rPr>
              <w:t>Close</w:t>
            </w:r>
          </w:p>
        </w:tc>
        <w:tc>
          <w:tcPr>
            <w:tcW w:w="1336" w:type="dxa"/>
            <w:shd w:val="clear" w:color="auto" w:fill="FFC000"/>
          </w:tcPr>
          <w:p w14:paraId="339090A8" w14:textId="72900C52" w:rsidR="008E013D" w:rsidRPr="008E013D" w:rsidRDefault="008E013D" w:rsidP="008E013D">
            <w:pPr>
              <w:jc w:val="center"/>
              <w:rPr>
                <w:b/>
                <w:bCs/>
              </w:rPr>
            </w:pPr>
            <w:r w:rsidRPr="008E013D">
              <w:rPr>
                <w:b/>
                <w:bCs/>
              </w:rPr>
              <w:t>Adj Close</w:t>
            </w:r>
          </w:p>
        </w:tc>
        <w:tc>
          <w:tcPr>
            <w:tcW w:w="1336" w:type="dxa"/>
          </w:tcPr>
          <w:p w14:paraId="4C0A4DBB" w14:textId="77C3F4FD" w:rsidR="008E013D" w:rsidRPr="008E013D" w:rsidRDefault="008E013D" w:rsidP="008E013D">
            <w:pPr>
              <w:jc w:val="center"/>
              <w:rPr>
                <w:b/>
                <w:bCs/>
              </w:rPr>
            </w:pPr>
            <w:r w:rsidRPr="008E013D">
              <w:rPr>
                <w:b/>
                <w:bCs/>
              </w:rPr>
              <w:t>Volume</w:t>
            </w:r>
          </w:p>
        </w:tc>
      </w:tr>
      <w:tr w:rsidR="008E013D" w14:paraId="65D4B58F" w14:textId="77777777" w:rsidTr="00F43A0D">
        <w:tc>
          <w:tcPr>
            <w:tcW w:w="1525" w:type="dxa"/>
            <w:shd w:val="clear" w:color="auto" w:fill="FFC000"/>
          </w:tcPr>
          <w:p w14:paraId="49E7EE4D" w14:textId="6C138764" w:rsidR="008E013D" w:rsidRDefault="008E013D" w:rsidP="008E013D">
            <w:r>
              <w:t>YYYY-MM-DD</w:t>
            </w:r>
          </w:p>
        </w:tc>
        <w:tc>
          <w:tcPr>
            <w:tcW w:w="1145" w:type="dxa"/>
          </w:tcPr>
          <w:p w14:paraId="61ADED37" w14:textId="7649D38F" w:rsidR="008E013D" w:rsidRDefault="008E013D" w:rsidP="008E013D">
            <w:r>
              <w:t>Float</w:t>
            </w:r>
          </w:p>
        </w:tc>
        <w:tc>
          <w:tcPr>
            <w:tcW w:w="1336" w:type="dxa"/>
          </w:tcPr>
          <w:p w14:paraId="687250BD" w14:textId="36E812B3" w:rsidR="008E013D" w:rsidRDefault="008E013D" w:rsidP="008E013D">
            <w:r>
              <w:t>Float</w:t>
            </w:r>
          </w:p>
        </w:tc>
        <w:tc>
          <w:tcPr>
            <w:tcW w:w="1336" w:type="dxa"/>
          </w:tcPr>
          <w:p w14:paraId="049042DF" w14:textId="14DA4E23" w:rsidR="008E013D" w:rsidRDefault="008E013D" w:rsidP="008E013D">
            <w:r>
              <w:t>Float</w:t>
            </w:r>
          </w:p>
        </w:tc>
        <w:tc>
          <w:tcPr>
            <w:tcW w:w="1336" w:type="dxa"/>
            <w:shd w:val="clear" w:color="auto" w:fill="FFC000"/>
          </w:tcPr>
          <w:p w14:paraId="2D62212E" w14:textId="2BF3F1F6" w:rsidR="008E013D" w:rsidRDefault="008E013D" w:rsidP="008E013D">
            <w:r>
              <w:t>Float</w:t>
            </w:r>
          </w:p>
        </w:tc>
        <w:tc>
          <w:tcPr>
            <w:tcW w:w="1336" w:type="dxa"/>
            <w:shd w:val="clear" w:color="auto" w:fill="FFC000"/>
          </w:tcPr>
          <w:p w14:paraId="289FB615" w14:textId="1C26031B" w:rsidR="008E013D" w:rsidRDefault="008E013D" w:rsidP="008E013D">
            <w:r>
              <w:t>Float</w:t>
            </w:r>
          </w:p>
        </w:tc>
        <w:tc>
          <w:tcPr>
            <w:tcW w:w="1336" w:type="dxa"/>
          </w:tcPr>
          <w:p w14:paraId="12190B57" w14:textId="64CB9B13" w:rsidR="008E013D" w:rsidRDefault="008E013D" w:rsidP="008E013D">
            <w:r>
              <w:t>Int</w:t>
            </w:r>
          </w:p>
        </w:tc>
      </w:tr>
    </w:tbl>
    <w:p w14:paraId="6A6A9188" w14:textId="7F159998" w:rsidR="008E013D" w:rsidRDefault="008E013D" w:rsidP="008E013D"/>
    <w:p w14:paraId="7AB2657C" w14:textId="02318A59" w:rsidR="00975119" w:rsidRDefault="004B5AF6" w:rsidP="008E013D">
      <w:r>
        <w:t xml:space="preserve">Where </w:t>
      </w:r>
      <w:r w:rsidRPr="00F43A0D">
        <w:rPr>
          <w:b/>
          <w:bCs/>
        </w:rPr>
        <w:t>Date</w:t>
      </w:r>
      <w:r>
        <w:t xml:space="preserve"> is the year month and day of the stock market readings in </w:t>
      </w:r>
      <w:r w:rsidR="00EC0EB8">
        <w:t>four-digit</w:t>
      </w:r>
      <w:r>
        <w:t xml:space="preserve"> year, </w:t>
      </w:r>
      <w:r w:rsidR="00EC0EB8">
        <w:t>two-digit</w:t>
      </w:r>
      <w:r>
        <w:t xml:space="preserve"> month and </w:t>
      </w:r>
      <w:r w:rsidR="00EC0EB8">
        <w:t>two-digit</w:t>
      </w:r>
      <w:r>
        <w:t xml:space="preserve"> day format. </w:t>
      </w:r>
      <w:r w:rsidRPr="00F43A0D">
        <w:rPr>
          <w:b/>
          <w:bCs/>
        </w:rPr>
        <w:t>Close</w:t>
      </w:r>
      <w:r>
        <w:t xml:space="preserve"> is</w:t>
      </w:r>
      <w:r w:rsidR="00F43A0D">
        <w:t xml:space="preserve"> the closing price of the market is the actual cash value of the last transacted price before the market closes. </w:t>
      </w:r>
      <w:r w:rsidR="00F43A0D" w:rsidRPr="00F43A0D">
        <w:rPr>
          <w:b/>
          <w:bCs/>
        </w:rPr>
        <w:t>Adj Close</w:t>
      </w:r>
      <w:r>
        <w:t xml:space="preserve"> </w:t>
      </w:r>
      <w:r w:rsidR="00F43A0D">
        <w:t>is the closing price adjusted by various corporate actions which include but are not limited to stock splits, dividends, and rights offerings. For the purposes of examining market index trends of long periods of time. We chose to use the adjusted closing price</w:t>
      </w:r>
      <w:r w:rsidR="00AF339D">
        <w:t xml:space="preserve">. For the purposes of </w:t>
      </w:r>
      <w:r w:rsidR="00DC4D1F">
        <w:t xml:space="preserve">correlations, we can see that we may use either Close or Adj Close to compare these values by looking at the correlations between Closing price and Adjusted Closing price for each index. </w:t>
      </w:r>
    </w:p>
    <w:p w14:paraId="3347DDF5" w14:textId="671ABCB2" w:rsidR="00DC4D1F" w:rsidRDefault="00DC4D1F" w:rsidP="008E013D"/>
    <w:tbl>
      <w:tblPr>
        <w:tblW w:w="9708" w:type="dxa"/>
        <w:jc w:val="center"/>
        <w:tblLook w:val="04A0" w:firstRow="1" w:lastRow="0" w:firstColumn="1" w:lastColumn="0" w:noHBand="0" w:noVBand="1"/>
      </w:tblPr>
      <w:tblGrid>
        <w:gridCol w:w="1718"/>
        <w:gridCol w:w="1251"/>
        <w:gridCol w:w="1595"/>
        <w:gridCol w:w="1166"/>
        <w:gridCol w:w="1511"/>
        <w:gridCol w:w="1373"/>
        <w:gridCol w:w="1718"/>
      </w:tblGrid>
      <w:tr w:rsidR="004148FB" w:rsidRPr="004148FB" w14:paraId="4FFF2790" w14:textId="77777777" w:rsidTr="00A43C13">
        <w:trPr>
          <w:trHeight w:val="360"/>
          <w:jc w:val="center"/>
        </w:trPr>
        <w:tc>
          <w:tcPr>
            <w:tcW w:w="1611" w:type="dxa"/>
            <w:tcBorders>
              <w:top w:val="nil"/>
              <w:left w:val="nil"/>
              <w:bottom w:val="single" w:sz="12" w:space="0" w:color="auto"/>
              <w:right w:val="single" w:sz="12" w:space="0" w:color="auto"/>
            </w:tcBorders>
            <w:shd w:val="clear" w:color="auto" w:fill="auto"/>
            <w:noWrap/>
            <w:vAlign w:val="bottom"/>
            <w:hideMark/>
          </w:tcPr>
          <w:p w14:paraId="3BF3DBAC" w14:textId="77777777" w:rsidR="004148FB" w:rsidRPr="004148FB" w:rsidRDefault="004148FB" w:rsidP="004148FB">
            <w:pPr>
              <w:spacing w:after="0" w:line="240" w:lineRule="auto"/>
              <w:rPr>
                <w:rFonts w:ascii="Calibri" w:eastAsia="Times New Roman" w:hAnsi="Calibri" w:cs="Calibri"/>
                <w:color w:val="000000"/>
              </w:rPr>
            </w:pPr>
            <w:r w:rsidRPr="004148FB">
              <w:rPr>
                <w:rFonts w:ascii="Calibri" w:eastAsia="Times New Roman" w:hAnsi="Calibri" w:cs="Calibri"/>
                <w:color w:val="000000"/>
              </w:rPr>
              <w:t> </w:t>
            </w:r>
          </w:p>
        </w:tc>
        <w:tc>
          <w:tcPr>
            <w:tcW w:w="1180" w:type="dxa"/>
            <w:tcBorders>
              <w:top w:val="nil"/>
              <w:left w:val="nil"/>
              <w:bottom w:val="nil"/>
              <w:right w:val="nil"/>
            </w:tcBorders>
            <w:shd w:val="clear" w:color="auto" w:fill="auto"/>
            <w:noWrap/>
            <w:vAlign w:val="center"/>
            <w:hideMark/>
          </w:tcPr>
          <w:p w14:paraId="153F371E"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IXIC_CLOSE</w:t>
            </w:r>
          </w:p>
        </w:tc>
        <w:tc>
          <w:tcPr>
            <w:tcW w:w="1497" w:type="dxa"/>
            <w:tcBorders>
              <w:top w:val="nil"/>
              <w:left w:val="nil"/>
              <w:bottom w:val="nil"/>
              <w:right w:val="nil"/>
            </w:tcBorders>
            <w:shd w:val="clear" w:color="auto" w:fill="auto"/>
            <w:noWrap/>
            <w:vAlign w:val="center"/>
            <w:hideMark/>
          </w:tcPr>
          <w:p w14:paraId="35324760"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IXIC_ADJCLOSE</w:t>
            </w:r>
          </w:p>
        </w:tc>
        <w:tc>
          <w:tcPr>
            <w:tcW w:w="1100" w:type="dxa"/>
            <w:tcBorders>
              <w:top w:val="nil"/>
              <w:left w:val="nil"/>
              <w:bottom w:val="nil"/>
              <w:right w:val="nil"/>
            </w:tcBorders>
            <w:shd w:val="clear" w:color="auto" w:fill="auto"/>
            <w:noWrap/>
            <w:vAlign w:val="center"/>
            <w:hideMark/>
          </w:tcPr>
          <w:p w14:paraId="64E900AB"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DJI_CLOSE</w:t>
            </w:r>
          </w:p>
        </w:tc>
        <w:tc>
          <w:tcPr>
            <w:tcW w:w="1419" w:type="dxa"/>
            <w:tcBorders>
              <w:top w:val="nil"/>
              <w:left w:val="nil"/>
              <w:bottom w:val="nil"/>
              <w:right w:val="nil"/>
            </w:tcBorders>
            <w:shd w:val="clear" w:color="auto" w:fill="auto"/>
            <w:noWrap/>
            <w:vAlign w:val="center"/>
            <w:hideMark/>
          </w:tcPr>
          <w:p w14:paraId="59CB954F"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DJI_ADJCLOSE</w:t>
            </w:r>
          </w:p>
        </w:tc>
        <w:tc>
          <w:tcPr>
            <w:tcW w:w="1291" w:type="dxa"/>
            <w:tcBorders>
              <w:top w:val="nil"/>
              <w:left w:val="nil"/>
              <w:bottom w:val="nil"/>
              <w:right w:val="nil"/>
            </w:tcBorders>
            <w:shd w:val="clear" w:color="auto" w:fill="auto"/>
            <w:noWrap/>
            <w:vAlign w:val="center"/>
            <w:hideMark/>
          </w:tcPr>
          <w:p w14:paraId="722BD4D5"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GSPC_CLOSE</w:t>
            </w:r>
          </w:p>
        </w:tc>
        <w:tc>
          <w:tcPr>
            <w:tcW w:w="1610" w:type="dxa"/>
            <w:tcBorders>
              <w:top w:val="nil"/>
              <w:left w:val="nil"/>
              <w:bottom w:val="nil"/>
              <w:right w:val="nil"/>
            </w:tcBorders>
            <w:shd w:val="clear" w:color="auto" w:fill="auto"/>
            <w:noWrap/>
            <w:vAlign w:val="center"/>
            <w:hideMark/>
          </w:tcPr>
          <w:p w14:paraId="1690E71E"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GSPC_ADJCLOSE</w:t>
            </w:r>
          </w:p>
        </w:tc>
      </w:tr>
      <w:tr w:rsidR="004148FB" w:rsidRPr="004148FB" w14:paraId="228C2616" w14:textId="77777777" w:rsidTr="00A43C13">
        <w:trPr>
          <w:trHeight w:val="300"/>
          <w:jc w:val="center"/>
        </w:trPr>
        <w:tc>
          <w:tcPr>
            <w:tcW w:w="1611" w:type="dxa"/>
            <w:tcBorders>
              <w:top w:val="nil"/>
              <w:left w:val="nil"/>
              <w:bottom w:val="nil"/>
              <w:right w:val="nil"/>
            </w:tcBorders>
            <w:shd w:val="clear" w:color="auto" w:fill="auto"/>
            <w:noWrap/>
            <w:vAlign w:val="center"/>
            <w:hideMark/>
          </w:tcPr>
          <w:p w14:paraId="0A9DABF6"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IXIC_CLOSE</w:t>
            </w:r>
          </w:p>
        </w:tc>
        <w:tc>
          <w:tcPr>
            <w:tcW w:w="1180" w:type="dxa"/>
            <w:tcBorders>
              <w:top w:val="single" w:sz="12" w:space="0" w:color="auto"/>
              <w:left w:val="single" w:sz="12" w:space="0" w:color="auto"/>
              <w:bottom w:val="nil"/>
              <w:right w:val="nil"/>
            </w:tcBorders>
            <w:shd w:val="clear" w:color="auto" w:fill="auto"/>
            <w:noWrap/>
            <w:vAlign w:val="center"/>
            <w:hideMark/>
          </w:tcPr>
          <w:p w14:paraId="5DDABE61" w14:textId="30D698F1" w:rsidR="004148FB" w:rsidRPr="004148FB" w:rsidRDefault="004148FB" w:rsidP="004148FB">
            <w:pPr>
              <w:spacing w:after="0" w:line="240" w:lineRule="auto"/>
              <w:jc w:val="center"/>
              <w:rPr>
                <w:rFonts w:ascii="Calibri" w:eastAsia="Times New Roman" w:hAnsi="Calibri" w:cs="Calibri"/>
                <w:color w:val="000000"/>
              </w:rPr>
            </w:pPr>
          </w:p>
        </w:tc>
        <w:tc>
          <w:tcPr>
            <w:tcW w:w="1497" w:type="dxa"/>
            <w:tcBorders>
              <w:top w:val="single" w:sz="12" w:space="0" w:color="auto"/>
              <w:left w:val="nil"/>
              <w:bottom w:val="nil"/>
              <w:right w:val="nil"/>
            </w:tcBorders>
            <w:shd w:val="clear" w:color="000000" w:fill="92D050"/>
            <w:noWrap/>
            <w:vAlign w:val="center"/>
            <w:hideMark/>
          </w:tcPr>
          <w:p w14:paraId="2BC66A0E"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1.0000</w:t>
            </w:r>
          </w:p>
        </w:tc>
        <w:tc>
          <w:tcPr>
            <w:tcW w:w="1100" w:type="dxa"/>
            <w:tcBorders>
              <w:top w:val="single" w:sz="12" w:space="0" w:color="auto"/>
              <w:left w:val="nil"/>
              <w:bottom w:val="nil"/>
              <w:right w:val="nil"/>
            </w:tcBorders>
            <w:shd w:val="clear" w:color="auto" w:fill="auto"/>
            <w:noWrap/>
            <w:vAlign w:val="center"/>
            <w:hideMark/>
          </w:tcPr>
          <w:p w14:paraId="75DF5441"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0.9726</w:t>
            </w:r>
          </w:p>
        </w:tc>
        <w:tc>
          <w:tcPr>
            <w:tcW w:w="1419" w:type="dxa"/>
            <w:tcBorders>
              <w:top w:val="single" w:sz="12" w:space="0" w:color="auto"/>
              <w:left w:val="nil"/>
              <w:bottom w:val="nil"/>
              <w:right w:val="nil"/>
            </w:tcBorders>
            <w:shd w:val="clear" w:color="auto" w:fill="auto"/>
            <w:noWrap/>
            <w:vAlign w:val="center"/>
            <w:hideMark/>
          </w:tcPr>
          <w:p w14:paraId="13B03229"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0.9726</w:t>
            </w:r>
          </w:p>
        </w:tc>
        <w:tc>
          <w:tcPr>
            <w:tcW w:w="1291" w:type="dxa"/>
            <w:tcBorders>
              <w:top w:val="single" w:sz="12" w:space="0" w:color="auto"/>
              <w:left w:val="nil"/>
              <w:bottom w:val="nil"/>
              <w:right w:val="nil"/>
            </w:tcBorders>
            <w:shd w:val="clear" w:color="auto" w:fill="auto"/>
            <w:noWrap/>
            <w:vAlign w:val="center"/>
            <w:hideMark/>
          </w:tcPr>
          <w:p w14:paraId="6980FBC6"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0.9820</w:t>
            </w:r>
          </w:p>
        </w:tc>
        <w:tc>
          <w:tcPr>
            <w:tcW w:w="1610" w:type="dxa"/>
            <w:tcBorders>
              <w:top w:val="single" w:sz="12" w:space="0" w:color="auto"/>
              <w:left w:val="nil"/>
              <w:bottom w:val="nil"/>
              <w:right w:val="nil"/>
            </w:tcBorders>
            <w:shd w:val="clear" w:color="auto" w:fill="auto"/>
            <w:noWrap/>
            <w:vAlign w:val="center"/>
            <w:hideMark/>
          </w:tcPr>
          <w:p w14:paraId="1447D391"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0.9820</w:t>
            </w:r>
          </w:p>
        </w:tc>
      </w:tr>
      <w:tr w:rsidR="004148FB" w:rsidRPr="004148FB" w14:paraId="263B850F" w14:textId="77777777" w:rsidTr="00A43C13">
        <w:trPr>
          <w:trHeight w:val="289"/>
          <w:jc w:val="center"/>
        </w:trPr>
        <w:tc>
          <w:tcPr>
            <w:tcW w:w="1611" w:type="dxa"/>
            <w:tcBorders>
              <w:top w:val="nil"/>
              <w:left w:val="nil"/>
              <w:bottom w:val="nil"/>
              <w:right w:val="nil"/>
            </w:tcBorders>
            <w:shd w:val="clear" w:color="auto" w:fill="auto"/>
            <w:noWrap/>
            <w:vAlign w:val="center"/>
            <w:hideMark/>
          </w:tcPr>
          <w:p w14:paraId="759DED9C"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IXIC_ADJCLOSE</w:t>
            </w:r>
          </w:p>
        </w:tc>
        <w:tc>
          <w:tcPr>
            <w:tcW w:w="1180" w:type="dxa"/>
            <w:tcBorders>
              <w:top w:val="nil"/>
              <w:left w:val="single" w:sz="12" w:space="0" w:color="auto"/>
              <w:bottom w:val="nil"/>
              <w:right w:val="nil"/>
            </w:tcBorders>
            <w:shd w:val="clear" w:color="auto" w:fill="auto"/>
            <w:noWrap/>
            <w:vAlign w:val="center"/>
          </w:tcPr>
          <w:p w14:paraId="46B16EC9" w14:textId="285F1AB4" w:rsidR="004148FB" w:rsidRPr="004148FB" w:rsidRDefault="004148FB" w:rsidP="004148FB">
            <w:pPr>
              <w:spacing w:after="0" w:line="240" w:lineRule="auto"/>
              <w:jc w:val="center"/>
              <w:rPr>
                <w:rFonts w:ascii="Calibri" w:eastAsia="Times New Roman" w:hAnsi="Calibri" w:cs="Calibri"/>
                <w:color w:val="000000"/>
              </w:rPr>
            </w:pPr>
          </w:p>
        </w:tc>
        <w:tc>
          <w:tcPr>
            <w:tcW w:w="1497" w:type="dxa"/>
            <w:tcBorders>
              <w:top w:val="nil"/>
              <w:left w:val="nil"/>
              <w:bottom w:val="nil"/>
              <w:right w:val="nil"/>
            </w:tcBorders>
            <w:shd w:val="clear" w:color="auto" w:fill="auto"/>
            <w:noWrap/>
            <w:vAlign w:val="center"/>
          </w:tcPr>
          <w:p w14:paraId="1FF3EB44" w14:textId="2048EAA9" w:rsidR="004148FB" w:rsidRPr="004148FB" w:rsidRDefault="004148FB" w:rsidP="004148FB">
            <w:pPr>
              <w:spacing w:after="0" w:line="240" w:lineRule="auto"/>
              <w:jc w:val="center"/>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center"/>
          </w:tcPr>
          <w:p w14:paraId="6B9545CD" w14:textId="6E612803" w:rsidR="004148FB" w:rsidRPr="004148FB" w:rsidRDefault="004148FB" w:rsidP="004148FB">
            <w:pPr>
              <w:spacing w:after="0" w:line="240" w:lineRule="auto"/>
              <w:jc w:val="center"/>
              <w:rPr>
                <w:rFonts w:ascii="Calibri" w:eastAsia="Times New Roman" w:hAnsi="Calibri" w:cs="Calibri"/>
                <w:color w:val="000000"/>
              </w:rPr>
            </w:pPr>
          </w:p>
        </w:tc>
        <w:tc>
          <w:tcPr>
            <w:tcW w:w="1419" w:type="dxa"/>
            <w:tcBorders>
              <w:top w:val="nil"/>
              <w:left w:val="nil"/>
              <w:bottom w:val="nil"/>
              <w:right w:val="nil"/>
            </w:tcBorders>
            <w:shd w:val="clear" w:color="auto" w:fill="auto"/>
            <w:noWrap/>
            <w:vAlign w:val="center"/>
            <w:hideMark/>
          </w:tcPr>
          <w:p w14:paraId="58A3A8DB"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0.9726</w:t>
            </w:r>
          </w:p>
        </w:tc>
        <w:tc>
          <w:tcPr>
            <w:tcW w:w="1291" w:type="dxa"/>
            <w:tcBorders>
              <w:top w:val="nil"/>
              <w:left w:val="nil"/>
              <w:bottom w:val="nil"/>
              <w:right w:val="nil"/>
            </w:tcBorders>
            <w:shd w:val="clear" w:color="auto" w:fill="auto"/>
            <w:noWrap/>
            <w:vAlign w:val="center"/>
            <w:hideMark/>
          </w:tcPr>
          <w:p w14:paraId="1991BC3E"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0.9820</w:t>
            </w:r>
          </w:p>
        </w:tc>
        <w:tc>
          <w:tcPr>
            <w:tcW w:w="1610" w:type="dxa"/>
            <w:tcBorders>
              <w:top w:val="nil"/>
              <w:left w:val="nil"/>
              <w:bottom w:val="nil"/>
              <w:right w:val="nil"/>
            </w:tcBorders>
            <w:shd w:val="clear" w:color="auto" w:fill="auto"/>
            <w:noWrap/>
            <w:vAlign w:val="center"/>
            <w:hideMark/>
          </w:tcPr>
          <w:p w14:paraId="06EF5278"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0.9820</w:t>
            </w:r>
          </w:p>
        </w:tc>
      </w:tr>
      <w:tr w:rsidR="004148FB" w:rsidRPr="004148FB" w14:paraId="26EAB866" w14:textId="77777777" w:rsidTr="00A43C13">
        <w:trPr>
          <w:trHeight w:val="289"/>
          <w:jc w:val="center"/>
        </w:trPr>
        <w:tc>
          <w:tcPr>
            <w:tcW w:w="1611" w:type="dxa"/>
            <w:tcBorders>
              <w:top w:val="nil"/>
              <w:left w:val="nil"/>
              <w:bottom w:val="nil"/>
              <w:right w:val="nil"/>
            </w:tcBorders>
            <w:shd w:val="clear" w:color="auto" w:fill="auto"/>
            <w:noWrap/>
            <w:vAlign w:val="center"/>
            <w:hideMark/>
          </w:tcPr>
          <w:p w14:paraId="546C6485"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DJI_CLOSE</w:t>
            </w:r>
          </w:p>
        </w:tc>
        <w:tc>
          <w:tcPr>
            <w:tcW w:w="1180" w:type="dxa"/>
            <w:tcBorders>
              <w:top w:val="nil"/>
              <w:left w:val="single" w:sz="12" w:space="0" w:color="auto"/>
              <w:bottom w:val="nil"/>
              <w:right w:val="nil"/>
            </w:tcBorders>
            <w:shd w:val="clear" w:color="auto" w:fill="auto"/>
            <w:noWrap/>
            <w:vAlign w:val="center"/>
          </w:tcPr>
          <w:p w14:paraId="5D591483" w14:textId="51B4AB37" w:rsidR="004148FB" w:rsidRPr="004148FB" w:rsidRDefault="004148FB" w:rsidP="004148FB">
            <w:pPr>
              <w:spacing w:after="0" w:line="240" w:lineRule="auto"/>
              <w:jc w:val="center"/>
              <w:rPr>
                <w:rFonts w:ascii="Calibri" w:eastAsia="Times New Roman" w:hAnsi="Calibri" w:cs="Calibri"/>
                <w:color w:val="000000"/>
              </w:rPr>
            </w:pPr>
          </w:p>
        </w:tc>
        <w:tc>
          <w:tcPr>
            <w:tcW w:w="1497" w:type="dxa"/>
            <w:tcBorders>
              <w:top w:val="nil"/>
              <w:left w:val="nil"/>
              <w:bottom w:val="nil"/>
              <w:right w:val="nil"/>
            </w:tcBorders>
            <w:shd w:val="clear" w:color="auto" w:fill="auto"/>
            <w:noWrap/>
            <w:vAlign w:val="center"/>
          </w:tcPr>
          <w:p w14:paraId="3D74C965" w14:textId="5F080500" w:rsidR="004148FB" w:rsidRPr="004148FB" w:rsidRDefault="004148FB" w:rsidP="004148FB">
            <w:pPr>
              <w:spacing w:after="0" w:line="240" w:lineRule="auto"/>
              <w:jc w:val="center"/>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center"/>
          </w:tcPr>
          <w:p w14:paraId="445EFF6F" w14:textId="4658FDA9" w:rsidR="004148FB" w:rsidRPr="004148FB" w:rsidRDefault="004148FB" w:rsidP="004148FB">
            <w:pPr>
              <w:spacing w:after="0" w:line="240" w:lineRule="auto"/>
              <w:jc w:val="center"/>
              <w:rPr>
                <w:rFonts w:ascii="Calibri" w:eastAsia="Times New Roman" w:hAnsi="Calibri" w:cs="Calibri"/>
                <w:color w:val="000000"/>
              </w:rPr>
            </w:pPr>
          </w:p>
        </w:tc>
        <w:tc>
          <w:tcPr>
            <w:tcW w:w="1419" w:type="dxa"/>
            <w:tcBorders>
              <w:top w:val="nil"/>
              <w:left w:val="nil"/>
              <w:bottom w:val="nil"/>
              <w:right w:val="nil"/>
            </w:tcBorders>
            <w:shd w:val="clear" w:color="000000" w:fill="92D050"/>
            <w:noWrap/>
            <w:vAlign w:val="center"/>
            <w:hideMark/>
          </w:tcPr>
          <w:p w14:paraId="0B7A13B4"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1.0000</w:t>
            </w:r>
          </w:p>
        </w:tc>
        <w:tc>
          <w:tcPr>
            <w:tcW w:w="1291" w:type="dxa"/>
            <w:tcBorders>
              <w:top w:val="nil"/>
              <w:left w:val="nil"/>
              <w:bottom w:val="nil"/>
              <w:right w:val="nil"/>
            </w:tcBorders>
            <w:shd w:val="clear" w:color="auto" w:fill="auto"/>
            <w:noWrap/>
            <w:vAlign w:val="center"/>
            <w:hideMark/>
          </w:tcPr>
          <w:p w14:paraId="655293B7"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0.9937</w:t>
            </w:r>
          </w:p>
        </w:tc>
        <w:tc>
          <w:tcPr>
            <w:tcW w:w="1610" w:type="dxa"/>
            <w:tcBorders>
              <w:top w:val="nil"/>
              <w:left w:val="nil"/>
              <w:bottom w:val="nil"/>
              <w:right w:val="nil"/>
            </w:tcBorders>
            <w:shd w:val="clear" w:color="auto" w:fill="auto"/>
            <w:noWrap/>
            <w:vAlign w:val="center"/>
            <w:hideMark/>
          </w:tcPr>
          <w:p w14:paraId="2BF9BD95"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0.9937</w:t>
            </w:r>
          </w:p>
        </w:tc>
      </w:tr>
      <w:tr w:rsidR="004148FB" w:rsidRPr="004148FB" w14:paraId="59D3CCCF" w14:textId="77777777" w:rsidTr="00A43C13">
        <w:trPr>
          <w:trHeight w:val="289"/>
          <w:jc w:val="center"/>
        </w:trPr>
        <w:tc>
          <w:tcPr>
            <w:tcW w:w="1611" w:type="dxa"/>
            <w:tcBorders>
              <w:top w:val="nil"/>
              <w:left w:val="nil"/>
              <w:bottom w:val="nil"/>
              <w:right w:val="nil"/>
            </w:tcBorders>
            <w:shd w:val="clear" w:color="auto" w:fill="auto"/>
            <w:noWrap/>
            <w:vAlign w:val="center"/>
            <w:hideMark/>
          </w:tcPr>
          <w:p w14:paraId="15B0EE89"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DJI_ADJCLOSE</w:t>
            </w:r>
          </w:p>
        </w:tc>
        <w:tc>
          <w:tcPr>
            <w:tcW w:w="1180" w:type="dxa"/>
            <w:tcBorders>
              <w:top w:val="nil"/>
              <w:left w:val="single" w:sz="12" w:space="0" w:color="auto"/>
              <w:bottom w:val="nil"/>
              <w:right w:val="nil"/>
            </w:tcBorders>
            <w:shd w:val="clear" w:color="auto" w:fill="auto"/>
            <w:noWrap/>
            <w:vAlign w:val="center"/>
          </w:tcPr>
          <w:p w14:paraId="3FBBAA34" w14:textId="7CA43601" w:rsidR="004148FB" w:rsidRPr="004148FB" w:rsidRDefault="004148FB" w:rsidP="004148FB">
            <w:pPr>
              <w:spacing w:after="0" w:line="240" w:lineRule="auto"/>
              <w:jc w:val="center"/>
              <w:rPr>
                <w:rFonts w:ascii="Calibri" w:eastAsia="Times New Roman" w:hAnsi="Calibri" w:cs="Calibri"/>
                <w:color w:val="000000"/>
              </w:rPr>
            </w:pPr>
          </w:p>
        </w:tc>
        <w:tc>
          <w:tcPr>
            <w:tcW w:w="1497" w:type="dxa"/>
            <w:tcBorders>
              <w:top w:val="nil"/>
              <w:left w:val="nil"/>
              <w:bottom w:val="nil"/>
              <w:right w:val="nil"/>
            </w:tcBorders>
            <w:shd w:val="clear" w:color="auto" w:fill="auto"/>
            <w:noWrap/>
            <w:vAlign w:val="center"/>
          </w:tcPr>
          <w:p w14:paraId="1D7D5BB8" w14:textId="003B43C9" w:rsidR="004148FB" w:rsidRPr="004148FB" w:rsidRDefault="004148FB" w:rsidP="004148FB">
            <w:pPr>
              <w:spacing w:after="0" w:line="240" w:lineRule="auto"/>
              <w:jc w:val="center"/>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center"/>
          </w:tcPr>
          <w:p w14:paraId="6D34589D" w14:textId="0FE9324C" w:rsidR="004148FB" w:rsidRPr="004148FB" w:rsidRDefault="004148FB" w:rsidP="004148FB">
            <w:pPr>
              <w:spacing w:after="0" w:line="240" w:lineRule="auto"/>
              <w:jc w:val="center"/>
              <w:rPr>
                <w:rFonts w:ascii="Calibri" w:eastAsia="Times New Roman" w:hAnsi="Calibri" w:cs="Calibri"/>
                <w:color w:val="000000"/>
              </w:rPr>
            </w:pPr>
          </w:p>
        </w:tc>
        <w:tc>
          <w:tcPr>
            <w:tcW w:w="1419" w:type="dxa"/>
            <w:tcBorders>
              <w:top w:val="nil"/>
              <w:left w:val="nil"/>
              <w:bottom w:val="nil"/>
              <w:right w:val="nil"/>
            </w:tcBorders>
            <w:shd w:val="clear" w:color="auto" w:fill="auto"/>
            <w:noWrap/>
            <w:vAlign w:val="center"/>
          </w:tcPr>
          <w:p w14:paraId="0C3876C6" w14:textId="53F24260" w:rsidR="004148FB" w:rsidRPr="004148FB" w:rsidRDefault="004148FB" w:rsidP="004148FB">
            <w:pPr>
              <w:spacing w:after="0" w:line="240" w:lineRule="auto"/>
              <w:jc w:val="center"/>
              <w:rPr>
                <w:rFonts w:ascii="Calibri" w:eastAsia="Times New Roman" w:hAnsi="Calibri" w:cs="Calibri"/>
                <w:color w:val="000000"/>
              </w:rPr>
            </w:pPr>
          </w:p>
        </w:tc>
        <w:tc>
          <w:tcPr>
            <w:tcW w:w="1291" w:type="dxa"/>
            <w:tcBorders>
              <w:top w:val="nil"/>
              <w:left w:val="nil"/>
              <w:bottom w:val="nil"/>
              <w:right w:val="nil"/>
            </w:tcBorders>
            <w:shd w:val="clear" w:color="auto" w:fill="auto"/>
            <w:noWrap/>
            <w:vAlign w:val="center"/>
            <w:hideMark/>
          </w:tcPr>
          <w:p w14:paraId="6D314798"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0.9937</w:t>
            </w:r>
          </w:p>
        </w:tc>
        <w:tc>
          <w:tcPr>
            <w:tcW w:w="1610" w:type="dxa"/>
            <w:tcBorders>
              <w:top w:val="nil"/>
              <w:left w:val="nil"/>
              <w:bottom w:val="nil"/>
              <w:right w:val="nil"/>
            </w:tcBorders>
            <w:shd w:val="clear" w:color="auto" w:fill="auto"/>
            <w:noWrap/>
            <w:vAlign w:val="center"/>
            <w:hideMark/>
          </w:tcPr>
          <w:p w14:paraId="16947EDE"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0.9937</w:t>
            </w:r>
          </w:p>
        </w:tc>
      </w:tr>
      <w:tr w:rsidR="004148FB" w:rsidRPr="004148FB" w14:paraId="34E046ED" w14:textId="77777777" w:rsidTr="00A43C13">
        <w:trPr>
          <w:trHeight w:val="289"/>
          <w:jc w:val="center"/>
        </w:trPr>
        <w:tc>
          <w:tcPr>
            <w:tcW w:w="1611" w:type="dxa"/>
            <w:tcBorders>
              <w:top w:val="nil"/>
              <w:left w:val="nil"/>
              <w:bottom w:val="nil"/>
              <w:right w:val="nil"/>
            </w:tcBorders>
            <w:shd w:val="clear" w:color="auto" w:fill="auto"/>
            <w:noWrap/>
            <w:vAlign w:val="center"/>
            <w:hideMark/>
          </w:tcPr>
          <w:p w14:paraId="2D6509F3"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GSPC_CLOSE</w:t>
            </w:r>
          </w:p>
        </w:tc>
        <w:tc>
          <w:tcPr>
            <w:tcW w:w="1180" w:type="dxa"/>
            <w:tcBorders>
              <w:top w:val="nil"/>
              <w:left w:val="single" w:sz="12" w:space="0" w:color="auto"/>
              <w:bottom w:val="nil"/>
              <w:right w:val="nil"/>
            </w:tcBorders>
            <w:shd w:val="clear" w:color="auto" w:fill="auto"/>
            <w:noWrap/>
            <w:vAlign w:val="center"/>
          </w:tcPr>
          <w:p w14:paraId="183B8692" w14:textId="05B47AAE" w:rsidR="004148FB" w:rsidRPr="004148FB" w:rsidRDefault="004148FB" w:rsidP="004148FB">
            <w:pPr>
              <w:spacing w:after="0" w:line="240" w:lineRule="auto"/>
              <w:jc w:val="center"/>
              <w:rPr>
                <w:rFonts w:ascii="Calibri" w:eastAsia="Times New Roman" w:hAnsi="Calibri" w:cs="Calibri"/>
                <w:color w:val="000000"/>
              </w:rPr>
            </w:pPr>
          </w:p>
        </w:tc>
        <w:tc>
          <w:tcPr>
            <w:tcW w:w="1497" w:type="dxa"/>
            <w:tcBorders>
              <w:top w:val="nil"/>
              <w:left w:val="nil"/>
              <w:bottom w:val="nil"/>
              <w:right w:val="nil"/>
            </w:tcBorders>
            <w:shd w:val="clear" w:color="auto" w:fill="auto"/>
            <w:noWrap/>
            <w:vAlign w:val="center"/>
          </w:tcPr>
          <w:p w14:paraId="3EA659F8" w14:textId="4E21E755" w:rsidR="004148FB" w:rsidRPr="004148FB" w:rsidRDefault="004148FB" w:rsidP="004148FB">
            <w:pPr>
              <w:spacing w:after="0" w:line="240" w:lineRule="auto"/>
              <w:jc w:val="center"/>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center"/>
          </w:tcPr>
          <w:p w14:paraId="0ED64B26" w14:textId="54FECD96" w:rsidR="004148FB" w:rsidRPr="004148FB" w:rsidRDefault="004148FB" w:rsidP="004148FB">
            <w:pPr>
              <w:spacing w:after="0" w:line="240" w:lineRule="auto"/>
              <w:jc w:val="center"/>
              <w:rPr>
                <w:rFonts w:ascii="Calibri" w:eastAsia="Times New Roman" w:hAnsi="Calibri" w:cs="Calibri"/>
                <w:color w:val="000000"/>
              </w:rPr>
            </w:pPr>
          </w:p>
        </w:tc>
        <w:tc>
          <w:tcPr>
            <w:tcW w:w="1419" w:type="dxa"/>
            <w:tcBorders>
              <w:top w:val="nil"/>
              <w:left w:val="nil"/>
              <w:bottom w:val="nil"/>
              <w:right w:val="nil"/>
            </w:tcBorders>
            <w:shd w:val="clear" w:color="auto" w:fill="auto"/>
            <w:noWrap/>
            <w:vAlign w:val="center"/>
          </w:tcPr>
          <w:p w14:paraId="4E0DB24B" w14:textId="1E8E527A" w:rsidR="004148FB" w:rsidRPr="004148FB" w:rsidRDefault="004148FB" w:rsidP="004148FB">
            <w:pPr>
              <w:spacing w:after="0" w:line="240" w:lineRule="auto"/>
              <w:jc w:val="center"/>
              <w:rPr>
                <w:rFonts w:ascii="Calibri" w:eastAsia="Times New Roman" w:hAnsi="Calibri" w:cs="Calibri"/>
                <w:color w:val="000000"/>
              </w:rPr>
            </w:pPr>
          </w:p>
        </w:tc>
        <w:tc>
          <w:tcPr>
            <w:tcW w:w="1291" w:type="dxa"/>
            <w:tcBorders>
              <w:top w:val="nil"/>
              <w:left w:val="nil"/>
              <w:bottom w:val="nil"/>
              <w:right w:val="nil"/>
            </w:tcBorders>
            <w:shd w:val="clear" w:color="auto" w:fill="auto"/>
            <w:noWrap/>
            <w:vAlign w:val="center"/>
          </w:tcPr>
          <w:p w14:paraId="7E7DB7A4" w14:textId="6E53C3E0" w:rsidR="004148FB" w:rsidRPr="004148FB" w:rsidRDefault="004148FB" w:rsidP="004148FB">
            <w:pPr>
              <w:spacing w:after="0" w:line="240" w:lineRule="auto"/>
              <w:jc w:val="center"/>
              <w:rPr>
                <w:rFonts w:ascii="Calibri" w:eastAsia="Times New Roman" w:hAnsi="Calibri" w:cs="Calibri"/>
                <w:color w:val="000000"/>
              </w:rPr>
            </w:pPr>
          </w:p>
        </w:tc>
        <w:tc>
          <w:tcPr>
            <w:tcW w:w="1610" w:type="dxa"/>
            <w:tcBorders>
              <w:top w:val="nil"/>
              <w:left w:val="nil"/>
              <w:bottom w:val="nil"/>
              <w:right w:val="nil"/>
            </w:tcBorders>
            <w:shd w:val="clear" w:color="000000" w:fill="92D050"/>
            <w:noWrap/>
            <w:vAlign w:val="center"/>
            <w:hideMark/>
          </w:tcPr>
          <w:p w14:paraId="37FB0AF6"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1.0000</w:t>
            </w:r>
          </w:p>
        </w:tc>
      </w:tr>
      <w:tr w:rsidR="004148FB" w:rsidRPr="004148FB" w14:paraId="5D00F669" w14:textId="77777777" w:rsidTr="00A43C13">
        <w:trPr>
          <w:trHeight w:val="289"/>
          <w:jc w:val="center"/>
        </w:trPr>
        <w:tc>
          <w:tcPr>
            <w:tcW w:w="1611" w:type="dxa"/>
            <w:tcBorders>
              <w:top w:val="nil"/>
              <w:left w:val="nil"/>
              <w:bottom w:val="nil"/>
              <w:right w:val="nil"/>
            </w:tcBorders>
            <w:shd w:val="clear" w:color="auto" w:fill="auto"/>
            <w:noWrap/>
            <w:vAlign w:val="center"/>
            <w:hideMark/>
          </w:tcPr>
          <w:p w14:paraId="1B0DB77C"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GSPC_ADJCLOSE</w:t>
            </w:r>
          </w:p>
        </w:tc>
        <w:tc>
          <w:tcPr>
            <w:tcW w:w="1180" w:type="dxa"/>
            <w:tcBorders>
              <w:top w:val="nil"/>
              <w:left w:val="single" w:sz="12" w:space="0" w:color="auto"/>
              <w:bottom w:val="nil"/>
              <w:right w:val="nil"/>
            </w:tcBorders>
            <w:shd w:val="clear" w:color="auto" w:fill="auto"/>
            <w:noWrap/>
            <w:vAlign w:val="center"/>
          </w:tcPr>
          <w:p w14:paraId="7844CB2A" w14:textId="5FD4C745" w:rsidR="004148FB" w:rsidRPr="004148FB" w:rsidRDefault="004148FB" w:rsidP="004148FB">
            <w:pPr>
              <w:spacing w:after="0" w:line="240" w:lineRule="auto"/>
              <w:jc w:val="center"/>
              <w:rPr>
                <w:rFonts w:ascii="Calibri" w:eastAsia="Times New Roman" w:hAnsi="Calibri" w:cs="Calibri"/>
                <w:color w:val="000000"/>
              </w:rPr>
            </w:pPr>
          </w:p>
        </w:tc>
        <w:tc>
          <w:tcPr>
            <w:tcW w:w="1497" w:type="dxa"/>
            <w:tcBorders>
              <w:top w:val="nil"/>
              <w:left w:val="nil"/>
              <w:bottom w:val="nil"/>
              <w:right w:val="nil"/>
            </w:tcBorders>
            <w:shd w:val="clear" w:color="auto" w:fill="auto"/>
            <w:noWrap/>
            <w:vAlign w:val="center"/>
          </w:tcPr>
          <w:p w14:paraId="0232F02A" w14:textId="0D6110F9" w:rsidR="004148FB" w:rsidRPr="004148FB" w:rsidRDefault="004148FB" w:rsidP="004148FB">
            <w:pPr>
              <w:spacing w:after="0" w:line="240" w:lineRule="auto"/>
              <w:jc w:val="center"/>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center"/>
          </w:tcPr>
          <w:p w14:paraId="77342FEE" w14:textId="075CC793" w:rsidR="004148FB" w:rsidRPr="004148FB" w:rsidRDefault="004148FB" w:rsidP="004148FB">
            <w:pPr>
              <w:spacing w:after="0" w:line="240" w:lineRule="auto"/>
              <w:jc w:val="center"/>
              <w:rPr>
                <w:rFonts w:ascii="Calibri" w:eastAsia="Times New Roman" w:hAnsi="Calibri" w:cs="Calibri"/>
                <w:color w:val="000000"/>
              </w:rPr>
            </w:pPr>
          </w:p>
        </w:tc>
        <w:tc>
          <w:tcPr>
            <w:tcW w:w="1419" w:type="dxa"/>
            <w:tcBorders>
              <w:top w:val="nil"/>
              <w:left w:val="nil"/>
              <w:bottom w:val="nil"/>
              <w:right w:val="nil"/>
            </w:tcBorders>
            <w:shd w:val="clear" w:color="auto" w:fill="auto"/>
            <w:noWrap/>
            <w:vAlign w:val="center"/>
          </w:tcPr>
          <w:p w14:paraId="281FB1E7" w14:textId="082ED2E1" w:rsidR="004148FB" w:rsidRPr="004148FB" w:rsidRDefault="004148FB" w:rsidP="004148FB">
            <w:pPr>
              <w:spacing w:after="0" w:line="240" w:lineRule="auto"/>
              <w:jc w:val="center"/>
              <w:rPr>
                <w:rFonts w:ascii="Calibri" w:eastAsia="Times New Roman" w:hAnsi="Calibri" w:cs="Calibri"/>
                <w:color w:val="000000"/>
              </w:rPr>
            </w:pPr>
          </w:p>
        </w:tc>
        <w:tc>
          <w:tcPr>
            <w:tcW w:w="1291" w:type="dxa"/>
            <w:tcBorders>
              <w:top w:val="nil"/>
              <w:left w:val="nil"/>
              <w:bottom w:val="nil"/>
              <w:right w:val="nil"/>
            </w:tcBorders>
            <w:shd w:val="clear" w:color="auto" w:fill="auto"/>
            <w:noWrap/>
            <w:vAlign w:val="center"/>
          </w:tcPr>
          <w:p w14:paraId="62F8BFCF" w14:textId="31684514" w:rsidR="004148FB" w:rsidRPr="004148FB" w:rsidRDefault="004148FB" w:rsidP="004148FB">
            <w:pPr>
              <w:spacing w:after="0" w:line="240" w:lineRule="auto"/>
              <w:jc w:val="center"/>
              <w:rPr>
                <w:rFonts w:ascii="Calibri" w:eastAsia="Times New Roman" w:hAnsi="Calibri" w:cs="Calibri"/>
                <w:color w:val="000000"/>
              </w:rPr>
            </w:pPr>
          </w:p>
        </w:tc>
        <w:tc>
          <w:tcPr>
            <w:tcW w:w="1610" w:type="dxa"/>
            <w:tcBorders>
              <w:top w:val="nil"/>
              <w:left w:val="nil"/>
              <w:bottom w:val="nil"/>
              <w:right w:val="nil"/>
            </w:tcBorders>
            <w:shd w:val="clear" w:color="auto" w:fill="auto"/>
            <w:noWrap/>
            <w:vAlign w:val="center"/>
          </w:tcPr>
          <w:p w14:paraId="7BE360AE" w14:textId="3CC01EBE" w:rsidR="004148FB" w:rsidRPr="004148FB" w:rsidRDefault="004148FB" w:rsidP="004148FB">
            <w:pPr>
              <w:spacing w:after="0" w:line="240" w:lineRule="auto"/>
              <w:jc w:val="center"/>
              <w:rPr>
                <w:rFonts w:ascii="Calibri" w:eastAsia="Times New Roman" w:hAnsi="Calibri" w:cs="Calibri"/>
                <w:color w:val="000000"/>
              </w:rPr>
            </w:pPr>
          </w:p>
        </w:tc>
      </w:tr>
    </w:tbl>
    <w:p w14:paraId="07C5D774" w14:textId="77777777" w:rsidR="00DC4D1F" w:rsidRDefault="00DC4D1F" w:rsidP="008E013D"/>
    <w:p w14:paraId="50759E13" w14:textId="27350BC4" w:rsidR="00DC4D1F" w:rsidRDefault="00720F7C" w:rsidP="008E013D">
      <w:r>
        <w:t>Yahoo Finance data for Down Jones Industrial Averages (DJI) data starts on Feb 01 1999 and are reported monthly on the first day of each month through Jan 01, 202</w:t>
      </w:r>
      <w:r w:rsidR="006E60BA">
        <w:t>1</w:t>
      </w:r>
      <w:r>
        <w:t xml:space="preserve">. The two other datasets Nasdaq (IXIC) and Standard and </w:t>
      </w:r>
      <w:r w:rsidR="005940F6">
        <w:t>Poor’s</w:t>
      </w:r>
      <w:r>
        <w:t xml:space="preserve"> 500 (GSPC) are reported starting Jan 01, 1987 and are reported on the first day of the month </w:t>
      </w:r>
      <w:proofErr w:type="spellStart"/>
      <w:r>
        <w:t>though</w:t>
      </w:r>
      <w:proofErr w:type="spellEnd"/>
      <w:r>
        <w:t xml:space="preserve"> Jan 01, 202</w:t>
      </w:r>
      <w:r w:rsidR="006E60BA">
        <w:t>1</w:t>
      </w:r>
    </w:p>
    <w:p w14:paraId="4DFF4F8F" w14:textId="569C0893" w:rsidR="00BD5249" w:rsidRDefault="00BD5249" w:rsidP="008E013D"/>
    <w:p w14:paraId="3B01D142" w14:textId="6B3DBC25" w:rsidR="00BD5249" w:rsidRDefault="006E60BA" w:rsidP="008E013D">
      <w:r>
        <w:t xml:space="preserve">Home Price Index data is obtained from the Federal Reserve bank of St. Louis FRED database. </w:t>
      </w:r>
      <w:hyperlink r:id="rId4" w:history="1">
        <w:r>
          <w:rPr>
            <w:rStyle w:val="Hyperlink"/>
          </w:rPr>
          <w:t>Federal Reserve Economic Data | FRED | St. Louis Fed</w:t>
        </w:r>
      </w:hyperlink>
      <w:r>
        <w:t xml:space="preserve">. We choose to use the Case-Shiller 10 City </w:t>
      </w:r>
      <w:r w:rsidR="00C36271">
        <w:t>Composite</w:t>
      </w:r>
      <w:r>
        <w:t xml:space="preserve"> Home Price Index  </w:t>
      </w:r>
    </w:p>
    <w:tbl>
      <w:tblPr>
        <w:tblStyle w:val="TableGrid"/>
        <w:tblW w:w="0" w:type="auto"/>
        <w:tblInd w:w="2515" w:type="dxa"/>
        <w:tblLook w:val="04A0" w:firstRow="1" w:lastRow="0" w:firstColumn="1" w:lastColumn="0" w:noHBand="0" w:noVBand="1"/>
      </w:tblPr>
      <w:tblGrid>
        <w:gridCol w:w="2160"/>
        <w:gridCol w:w="2340"/>
      </w:tblGrid>
      <w:tr w:rsidR="006E60BA" w14:paraId="21B05367" w14:textId="77777777" w:rsidTr="006E60BA">
        <w:tc>
          <w:tcPr>
            <w:tcW w:w="2160" w:type="dxa"/>
            <w:shd w:val="clear" w:color="auto" w:fill="FFC000"/>
          </w:tcPr>
          <w:p w14:paraId="28546C7A" w14:textId="11F21E0A" w:rsidR="006E60BA" w:rsidRPr="006E60BA" w:rsidRDefault="006E60BA" w:rsidP="006E60BA">
            <w:pPr>
              <w:jc w:val="center"/>
              <w:rPr>
                <w:b/>
                <w:bCs/>
              </w:rPr>
            </w:pPr>
            <w:r w:rsidRPr="006E60BA">
              <w:rPr>
                <w:b/>
                <w:bCs/>
              </w:rPr>
              <w:t>DATE</w:t>
            </w:r>
          </w:p>
        </w:tc>
        <w:tc>
          <w:tcPr>
            <w:tcW w:w="2340" w:type="dxa"/>
            <w:shd w:val="clear" w:color="auto" w:fill="FFC000"/>
          </w:tcPr>
          <w:p w14:paraId="49D23E64" w14:textId="0BD88773" w:rsidR="006E60BA" w:rsidRPr="006E60BA" w:rsidRDefault="006E60BA" w:rsidP="006E60BA">
            <w:pPr>
              <w:jc w:val="center"/>
              <w:rPr>
                <w:b/>
                <w:bCs/>
              </w:rPr>
            </w:pPr>
            <w:r w:rsidRPr="006E60BA">
              <w:rPr>
                <w:b/>
                <w:bCs/>
              </w:rPr>
              <w:t>SPCS10RSA</w:t>
            </w:r>
          </w:p>
        </w:tc>
      </w:tr>
      <w:tr w:rsidR="006E60BA" w14:paraId="4030F8B7" w14:textId="77777777" w:rsidTr="006E60BA">
        <w:tc>
          <w:tcPr>
            <w:tcW w:w="2160" w:type="dxa"/>
            <w:shd w:val="clear" w:color="auto" w:fill="FFC000"/>
          </w:tcPr>
          <w:p w14:paraId="047C5E6E" w14:textId="65B55414" w:rsidR="006E60BA" w:rsidRDefault="006E60BA" w:rsidP="006E60BA">
            <w:pPr>
              <w:jc w:val="center"/>
            </w:pPr>
            <w:r>
              <w:t>YYYY-MM-DD</w:t>
            </w:r>
          </w:p>
        </w:tc>
        <w:tc>
          <w:tcPr>
            <w:tcW w:w="2340" w:type="dxa"/>
            <w:shd w:val="clear" w:color="auto" w:fill="FFC000"/>
          </w:tcPr>
          <w:p w14:paraId="323F446E" w14:textId="337D5F0E" w:rsidR="006E60BA" w:rsidRDefault="006E60BA" w:rsidP="006E60BA">
            <w:pPr>
              <w:jc w:val="center"/>
            </w:pPr>
            <w:r>
              <w:t>float</w:t>
            </w:r>
          </w:p>
        </w:tc>
      </w:tr>
    </w:tbl>
    <w:p w14:paraId="5F73689D" w14:textId="77777777" w:rsidR="006E60BA" w:rsidRDefault="006E60BA" w:rsidP="008E013D"/>
    <w:p w14:paraId="2A95482F" w14:textId="10E7A43A" w:rsidR="00DC4D1F" w:rsidRDefault="006E60BA" w:rsidP="008E013D">
      <w:r>
        <w:lastRenderedPageBreak/>
        <w:t>This is an index of home prices in the 10 largest US metro areas. The index data is set to be 100 on Jan 2000 and is Seasonally Adjusted. This data is reported on the first day of the month starting in Jan 01, 1987 through Jan 01, 2021</w:t>
      </w:r>
      <w:r w:rsidR="00C11B72">
        <w:t xml:space="preserve">. The following cities are represented by the </w:t>
      </w:r>
      <w:proofErr w:type="gramStart"/>
      <w:r w:rsidR="00C11B72">
        <w:t>10 city</w:t>
      </w:r>
      <w:proofErr w:type="gramEnd"/>
      <w:r w:rsidR="00C11B72">
        <w:t xml:space="preserve"> composite, Boston, MA; Chicago, IL; Denver, CO; Las Vegas, NV; Los Angeles, CA; South Florida; New York, NY, San Diego, CA; San Francisco, CA; and Washington DC; </w:t>
      </w:r>
    </w:p>
    <w:p w14:paraId="50E3DD6D" w14:textId="50B26E8C" w:rsidR="00C11B72" w:rsidRDefault="00C11B72" w:rsidP="008E013D"/>
    <w:p w14:paraId="6847C36E" w14:textId="77777777" w:rsidR="00C11B72" w:rsidRPr="00F43A0D" w:rsidRDefault="00C11B72" w:rsidP="008E013D"/>
    <w:sectPr w:rsidR="00C11B72" w:rsidRPr="00F43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88"/>
    <w:rsid w:val="001129EB"/>
    <w:rsid w:val="004148FB"/>
    <w:rsid w:val="004B5AF6"/>
    <w:rsid w:val="005940F6"/>
    <w:rsid w:val="006E60BA"/>
    <w:rsid w:val="00720F7C"/>
    <w:rsid w:val="0074233E"/>
    <w:rsid w:val="00764388"/>
    <w:rsid w:val="008E013D"/>
    <w:rsid w:val="0093722D"/>
    <w:rsid w:val="00965171"/>
    <w:rsid w:val="00975119"/>
    <w:rsid w:val="00A43C13"/>
    <w:rsid w:val="00AF339D"/>
    <w:rsid w:val="00BD5249"/>
    <w:rsid w:val="00C11B72"/>
    <w:rsid w:val="00C36271"/>
    <w:rsid w:val="00D07FEF"/>
    <w:rsid w:val="00D277E7"/>
    <w:rsid w:val="00DC4D1F"/>
    <w:rsid w:val="00EC0EB8"/>
    <w:rsid w:val="00F43A0D"/>
    <w:rsid w:val="00F50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5D633"/>
  <w15:chartTrackingRefBased/>
  <w15:docId w15:val="{8E2FB4F0-089C-4B20-9E5D-5463F5A8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1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17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E01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013D"/>
    <w:rPr>
      <w:rFonts w:eastAsiaTheme="minorEastAsia"/>
      <w:color w:val="5A5A5A" w:themeColor="text1" w:themeTint="A5"/>
      <w:spacing w:val="15"/>
    </w:rPr>
  </w:style>
  <w:style w:type="character" w:styleId="Hyperlink">
    <w:name w:val="Hyperlink"/>
    <w:basedOn w:val="DefaultParagraphFont"/>
    <w:uiPriority w:val="99"/>
    <w:unhideWhenUsed/>
    <w:rsid w:val="008E013D"/>
    <w:rPr>
      <w:color w:val="0563C1" w:themeColor="hyperlink"/>
      <w:u w:val="single"/>
    </w:rPr>
  </w:style>
  <w:style w:type="character" w:styleId="UnresolvedMention">
    <w:name w:val="Unresolved Mention"/>
    <w:basedOn w:val="DefaultParagraphFont"/>
    <w:uiPriority w:val="99"/>
    <w:semiHidden/>
    <w:unhideWhenUsed/>
    <w:rsid w:val="008E013D"/>
    <w:rPr>
      <w:color w:val="605E5C"/>
      <w:shd w:val="clear" w:color="auto" w:fill="E1DFDD"/>
    </w:rPr>
  </w:style>
  <w:style w:type="table" w:styleId="TableGrid">
    <w:name w:val="Table Grid"/>
    <w:basedOn w:val="TableNormal"/>
    <w:uiPriority w:val="39"/>
    <w:rsid w:val="008E0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959908">
      <w:bodyDiv w:val="1"/>
      <w:marLeft w:val="0"/>
      <w:marRight w:val="0"/>
      <w:marTop w:val="0"/>
      <w:marBottom w:val="0"/>
      <w:divBdr>
        <w:top w:val="none" w:sz="0" w:space="0" w:color="auto"/>
        <w:left w:val="none" w:sz="0" w:space="0" w:color="auto"/>
        <w:bottom w:val="none" w:sz="0" w:space="0" w:color="auto"/>
        <w:right w:val="none" w:sz="0" w:space="0" w:color="auto"/>
      </w:divBdr>
    </w:div>
    <w:div w:id="120975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red.stlouisfe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dc:creator>
  <cp:keywords/>
  <dc:description/>
  <cp:lastModifiedBy>teddy</cp:lastModifiedBy>
  <cp:revision>22</cp:revision>
  <dcterms:created xsi:type="dcterms:W3CDTF">2021-04-05T12:16:00Z</dcterms:created>
  <dcterms:modified xsi:type="dcterms:W3CDTF">2021-04-07T13:02:00Z</dcterms:modified>
</cp:coreProperties>
</file>