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1B66" w14:textId="40A97BE5" w:rsidR="0074233E" w:rsidRDefault="00965171" w:rsidP="00965171">
      <w:pPr>
        <w:pStyle w:val="Heading1"/>
        <w:jc w:val="center"/>
      </w:pPr>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9317535"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r w:rsidR="004D507F">
        <w:t>indices</w:t>
      </w:r>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2136"/>
        <w:gridCol w:w="2520"/>
      </w:tblGrid>
      <w:tr w:rsidR="00312F2D" w14:paraId="7E6F1D68" w14:textId="77777777" w:rsidTr="00312F2D">
        <w:tc>
          <w:tcPr>
            <w:tcW w:w="2136" w:type="dxa"/>
          </w:tcPr>
          <w:p w14:paraId="36B695E9" w14:textId="77777777" w:rsidR="00312F2D" w:rsidRDefault="00312F2D" w:rsidP="00312F2D">
            <w:pPr>
              <w:jc w:val="center"/>
            </w:pPr>
          </w:p>
        </w:tc>
        <w:tc>
          <w:tcPr>
            <w:tcW w:w="2520" w:type="dxa"/>
          </w:tcPr>
          <w:p w14:paraId="15A1E231" w14:textId="77777777" w:rsidR="00312F2D" w:rsidRDefault="00312F2D" w:rsidP="00312F2D">
            <w:r>
              <w:t>SPCS10RSA</w:t>
            </w:r>
          </w:p>
        </w:tc>
      </w:tr>
      <w:tr w:rsidR="00312F2D" w14:paraId="56B36891" w14:textId="77777777" w:rsidTr="00312F2D">
        <w:tc>
          <w:tcPr>
            <w:tcW w:w="2136" w:type="dxa"/>
          </w:tcPr>
          <w:p w14:paraId="07C8140C" w14:textId="77777777" w:rsidR="00312F2D" w:rsidRDefault="00312F2D" w:rsidP="00312F2D">
            <w:r>
              <w:t>IXIC_ADJCLOSE</w:t>
            </w:r>
          </w:p>
        </w:tc>
        <w:tc>
          <w:tcPr>
            <w:tcW w:w="2520" w:type="dxa"/>
          </w:tcPr>
          <w:p w14:paraId="21B5CE2D" w14:textId="77777777" w:rsidR="00312F2D" w:rsidRDefault="00312F2D" w:rsidP="00312F2D">
            <w:r w:rsidRPr="009E6C36">
              <w:t>0.711515</w:t>
            </w:r>
          </w:p>
        </w:tc>
      </w:tr>
      <w:tr w:rsidR="00312F2D" w14:paraId="4FF86354" w14:textId="77777777" w:rsidTr="00312F2D">
        <w:tc>
          <w:tcPr>
            <w:tcW w:w="2136" w:type="dxa"/>
          </w:tcPr>
          <w:p w14:paraId="3BBF62CF" w14:textId="77777777" w:rsidR="00312F2D" w:rsidRDefault="00312F2D" w:rsidP="00312F2D">
            <w:r>
              <w:t>DJI_ADJCLOSE</w:t>
            </w:r>
          </w:p>
        </w:tc>
        <w:tc>
          <w:tcPr>
            <w:tcW w:w="2520" w:type="dxa"/>
          </w:tcPr>
          <w:p w14:paraId="383E7AC3" w14:textId="77777777" w:rsidR="00312F2D" w:rsidRDefault="00312F2D" w:rsidP="00312F2D">
            <w:r w:rsidRPr="009E6C36">
              <w:t>0.820565</w:t>
            </w:r>
          </w:p>
        </w:tc>
      </w:tr>
      <w:tr w:rsidR="00312F2D" w14:paraId="5CBB7F59" w14:textId="77777777" w:rsidTr="00312F2D">
        <w:tc>
          <w:tcPr>
            <w:tcW w:w="2136" w:type="dxa"/>
          </w:tcPr>
          <w:p w14:paraId="07077B37" w14:textId="77777777" w:rsidR="00312F2D" w:rsidRDefault="00312F2D" w:rsidP="00312F2D">
            <w:r>
              <w:t>GSPC_ADJCLOSE</w:t>
            </w:r>
          </w:p>
        </w:tc>
        <w:tc>
          <w:tcPr>
            <w:tcW w:w="2520" w:type="dxa"/>
          </w:tcPr>
          <w:p w14:paraId="450E9D76" w14:textId="77777777" w:rsidR="00312F2D" w:rsidRDefault="00312F2D" w:rsidP="00312F2D">
            <w:r w:rsidRPr="009E6C36">
              <w:t>0.791574</w:t>
            </w:r>
          </w:p>
        </w:tc>
      </w:tr>
      <w:tr w:rsidR="00312F2D" w14:paraId="1BD2BA76" w14:textId="77777777" w:rsidTr="00312F2D">
        <w:tc>
          <w:tcPr>
            <w:tcW w:w="2136" w:type="dxa"/>
          </w:tcPr>
          <w:p w14:paraId="20115E1D" w14:textId="77777777" w:rsidR="00312F2D" w:rsidRDefault="00312F2D" w:rsidP="00312F2D">
            <w:r w:rsidRPr="009E6C36">
              <w:t>CSUSHPISA</w:t>
            </w:r>
          </w:p>
        </w:tc>
        <w:tc>
          <w:tcPr>
            <w:tcW w:w="2520" w:type="dxa"/>
          </w:tcPr>
          <w:p w14:paraId="55543DC6" w14:textId="77777777" w:rsidR="00312F2D" w:rsidRDefault="00312F2D" w:rsidP="00312F2D">
            <w:r w:rsidRPr="009E6C36">
              <w:t>0.991181</w:t>
            </w:r>
          </w:p>
        </w:tc>
      </w:tr>
    </w:tbl>
    <w:p w14:paraId="727A06DF" w14:textId="7E47F90F" w:rsidR="00312F2D" w:rsidRDefault="00312F2D" w:rsidP="00312F2D">
      <w:pPr>
        <w:pStyle w:val="Caption"/>
        <w:keepNext/>
        <w:jc w:val="center"/>
      </w:pPr>
      <w:r>
        <w:t xml:space="preserve"> Table </w:t>
      </w:r>
      <w:r w:rsidR="004D507F">
        <w:fldChar w:fldCharType="begin"/>
      </w:r>
      <w:r w:rsidR="004D507F">
        <w:instrText xml:space="preserve"> SEQ Table \* ARABIC </w:instrText>
      </w:r>
      <w:r w:rsidR="004D507F">
        <w:fldChar w:fldCharType="separate"/>
      </w:r>
      <w:r>
        <w:rPr>
          <w:noProof/>
        </w:rPr>
        <w:t>1</w:t>
      </w:r>
      <w:r w:rsidR="004D507F">
        <w:rPr>
          <w:noProof/>
        </w:rPr>
        <w:fldChar w:fldCharType="end"/>
      </w:r>
      <w:r>
        <w:t>: Correlation Values for Major Stock Indices and Home Values</w:t>
      </w:r>
    </w:p>
    <w:p w14:paraId="376E4B2F" w14:textId="6EA4EEF2" w:rsidR="005D5018" w:rsidRDefault="005D5018" w:rsidP="005D5018"/>
    <w:p w14:paraId="38349EA4" w14:textId="4CE1FEF2" w:rsidR="005D5018" w:rsidRDefault="005D5018" w:rsidP="005D5018"/>
    <w:p w14:paraId="14FE640E" w14:textId="77777777" w:rsidR="00312F2D" w:rsidRPr="005D5018" w:rsidRDefault="00312F2D" w:rsidP="005D5018"/>
    <w:p w14:paraId="44B46D28" w14:textId="77777777" w:rsidR="00312F2D" w:rsidRDefault="00312F2D" w:rsidP="008E013D">
      <w:pPr>
        <w:pStyle w:val="Subtitle"/>
      </w:pPr>
    </w:p>
    <w:p w14:paraId="333D9CAE" w14:textId="6C2F70CE" w:rsidR="00312F2D" w:rsidRDefault="00312F2D" w:rsidP="00312F2D">
      <w:r>
        <w:t xml:space="preserve">We can see that there is a strong correlation between the stock indices and home values represented by the Case-Shiller 10 city composite index. We also observe, as expected, that the Case-Shiller 10 City 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881E9E">
      <w:pPr>
        <w:keepNext/>
      </w:pPr>
      <w:r>
        <w:rPr>
          <w:noProof/>
        </w:rPr>
        <w:lastRenderedPageBreak/>
        <w:drawing>
          <wp:inline distT="0" distB="0" distL="0" distR="0" wp14:anchorId="10E3979B" wp14:editId="26DEA02C">
            <wp:extent cx="5943600"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34423FF4" w14:textId="07A98F1B" w:rsidR="00881E9E" w:rsidRDefault="00881E9E" w:rsidP="00881E9E">
      <w:pPr>
        <w:pStyle w:val="Caption"/>
        <w:jc w:val="center"/>
      </w:pPr>
      <w:r>
        <w:t xml:space="preserve">Figure </w:t>
      </w:r>
      <w:r w:rsidR="004D507F">
        <w:fldChar w:fldCharType="begin"/>
      </w:r>
      <w:r w:rsidR="004D507F">
        <w:instrText xml:space="preserve"> SEQ Figure \* ARABIC </w:instrText>
      </w:r>
      <w:r w:rsidR="004D507F">
        <w:fldChar w:fldCharType="separate"/>
      </w:r>
      <w:r>
        <w:rPr>
          <w:noProof/>
        </w:rPr>
        <w:t>1</w:t>
      </w:r>
      <w:r w:rsidR="004D507F">
        <w:rPr>
          <w:noProof/>
        </w:rPr>
        <w:fldChar w:fldCharType="end"/>
      </w:r>
      <w:r>
        <w:t xml:space="preserve"> Housing Bubble</w:t>
      </w:r>
    </w:p>
    <w:p w14:paraId="762BBD7E" w14:textId="71529624" w:rsidR="0085253D" w:rsidRDefault="0085253D" w:rsidP="00312F2D"/>
    <w:p w14:paraId="0856E023" w14:textId="37012600" w:rsidR="0085253D" w:rsidRDefault="00881E9E" w:rsidP="00312F2D">
      <w:r>
        <w:t>Figure 1. 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regions. </w:t>
      </w:r>
    </w:p>
    <w:p w14:paraId="4F86D13C" w14:textId="58CC5DF6"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w:t>
      </w:r>
      <w:proofErr w:type="spellStart"/>
      <w:r>
        <w:t>api</w:t>
      </w:r>
      <w:proofErr w:type="spellEnd"/>
      <w:r>
        <w:t xml:space="preserve">  </w:t>
      </w:r>
      <w:r w:rsidRPr="008E013D">
        <w:t>https://pypi.org/project/yfinance/</w:t>
      </w:r>
      <w:r>
        <w:t xml:space="preserve">  Three CSV files were created. These files were named djii_1m.csv, nasdaq_1m.csv, and sp500_1m.csv.  Each of these files contained the following columns: </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7AB2657C" w14:textId="02318A59" w:rsidR="00975119" w:rsidRDefault="004B5AF6" w:rsidP="008E013D">
      <w:r>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3347DDF5" w14:textId="671ABCB2" w:rsidR="00DC4D1F" w:rsidRDefault="00DC4D1F" w:rsidP="008E013D"/>
    <w:tbl>
      <w:tblPr>
        <w:tblW w:w="9708" w:type="dxa"/>
        <w:jc w:val="center"/>
        <w:tblLook w:val="04A0" w:firstRow="1" w:lastRow="0" w:firstColumn="1" w:lastColumn="0" w:noHBand="0" w:noVBand="1"/>
      </w:tblPr>
      <w:tblGrid>
        <w:gridCol w:w="1718"/>
        <w:gridCol w:w="1251"/>
        <w:gridCol w:w="1595"/>
        <w:gridCol w:w="1166"/>
        <w:gridCol w:w="1511"/>
        <w:gridCol w:w="1373"/>
        <w:gridCol w:w="1718"/>
      </w:tblGrid>
      <w:tr w:rsidR="004148FB" w:rsidRPr="004148FB" w14:paraId="4FFF2790" w14:textId="77777777" w:rsidTr="00A43C13">
        <w:trPr>
          <w:trHeight w:val="360"/>
          <w:jc w:val="center"/>
        </w:trPr>
        <w:tc>
          <w:tcPr>
            <w:tcW w:w="1611" w:type="dxa"/>
            <w:tcBorders>
              <w:top w:val="nil"/>
              <w:left w:val="nil"/>
              <w:bottom w:val="single" w:sz="12" w:space="0" w:color="auto"/>
              <w:right w:val="single" w:sz="12" w:space="0" w:color="auto"/>
            </w:tcBorders>
            <w:shd w:val="clear" w:color="auto" w:fill="auto"/>
            <w:noWrap/>
            <w:vAlign w:val="bottom"/>
            <w:hideMark/>
          </w:tcPr>
          <w:p w14:paraId="3BF3DBAC" w14:textId="77777777" w:rsidR="004148FB" w:rsidRPr="004148FB" w:rsidRDefault="004148FB" w:rsidP="004148FB">
            <w:pPr>
              <w:spacing w:after="0" w:line="240" w:lineRule="auto"/>
              <w:rPr>
                <w:rFonts w:ascii="Calibri" w:eastAsia="Times New Roman" w:hAnsi="Calibri" w:cs="Calibri"/>
                <w:color w:val="000000"/>
              </w:rPr>
            </w:pPr>
            <w:r w:rsidRPr="004148FB">
              <w:rPr>
                <w:rFonts w:ascii="Calibri" w:eastAsia="Times New Roman" w:hAnsi="Calibri" w:cs="Calibri"/>
                <w:color w:val="000000"/>
              </w:rPr>
              <w:t> </w:t>
            </w:r>
          </w:p>
        </w:tc>
        <w:tc>
          <w:tcPr>
            <w:tcW w:w="1180" w:type="dxa"/>
            <w:tcBorders>
              <w:top w:val="nil"/>
              <w:left w:val="nil"/>
              <w:bottom w:val="nil"/>
              <w:right w:val="nil"/>
            </w:tcBorders>
            <w:shd w:val="clear" w:color="auto" w:fill="auto"/>
            <w:noWrap/>
            <w:vAlign w:val="center"/>
            <w:hideMark/>
          </w:tcPr>
          <w:p w14:paraId="153F3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497" w:type="dxa"/>
            <w:tcBorders>
              <w:top w:val="nil"/>
              <w:left w:val="nil"/>
              <w:bottom w:val="nil"/>
              <w:right w:val="nil"/>
            </w:tcBorders>
            <w:shd w:val="clear" w:color="auto" w:fill="auto"/>
            <w:noWrap/>
            <w:vAlign w:val="center"/>
            <w:hideMark/>
          </w:tcPr>
          <w:p w14:paraId="35324760"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00" w:type="dxa"/>
            <w:tcBorders>
              <w:top w:val="nil"/>
              <w:left w:val="nil"/>
              <w:bottom w:val="nil"/>
              <w:right w:val="nil"/>
            </w:tcBorders>
            <w:shd w:val="clear" w:color="auto" w:fill="auto"/>
            <w:noWrap/>
            <w:vAlign w:val="center"/>
            <w:hideMark/>
          </w:tcPr>
          <w:p w14:paraId="64E900AB"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419" w:type="dxa"/>
            <w:tcBorders>
              <w:top w:val="nil"/>
              <w:left w:val="nil"/>
              <w:bottom w:val="nil"/>
              <w:right w:val="nil"/>
            </w:tcBorders>
            <w:shd w:val="clear" w:color="auto" w:fill="auto"/>
            <w:noWrap/>
            <w:vAlign w:val="center"/>
            <w:hideMark/>
          </w:tcPr>
          <w:p w14:paraId="59CB954F"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291" w:type="dxa"/>
            <w:tcBorders>
              <w:top w:val="nil"/>
              <w:left w:val="nil"/>
              <w:bottom w:val="nil"/>
              <w:right w:val="nil"/>
            </w:tcBorders>
            <w:shd w:val="clear" w:color="auto" w:fill="auto"/>
            <w:noWrap/>
            <w:vAlign w:val="center"/>
            <w:hideMark/>
          </w:tcPr>
          <w:p w14:paraId="722BD4D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610" w:type="dxa"/>
            <w:tcBorders>
              <w:top w:val="nil"/>
              <w:left w:val="nil"/>
              <w:bottom w:val="nil"/>
              <w:right w:val="nil"/>
            </w:tcBorders>
            <w:shd w:val="clear" w:color="auto" w:fill="auto"/>
            <w:noWrap/>
            <w:vAlign w:val="center"/>
            <w:hideMark/>
          </w:tcPr>
          <w:p w14:paraId="1690E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r>
      <w:tr w:rsidR="004148FB" w:rsidRPr="004148FB" w14:paraId="228C2616" w14:textId="77777777" w:rsidTr="00A43C13">
        <w:trPr>
          <w:trHeight w:val="300"/>
          <w:jc w:val="center"/>
        </w:trPr>
        <w:tc>
          <w:tcPr>
            <w:tcW w:w="1611" w:type="dxa"/>
            <w:tcBorders>
              <w:top w:val="nil"/>
              <w:left w:val="nil"/>
              <w:bottom w:val="nil"/>
              <w:right w:val="nil"/>
            </w:tcBorders>
            <w:shd w:val="clear" w:color="auto" w:fill="auto"/>
            <w:noWrap/>
            <w:vAlign w:val="center"/>
            <w:hideMark/>
          </w:tcPr>
          <w:p w14:paraId="0A9DABF6"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180" w:type="dxa"/>
            <w:tcBorders>
              <w:top w:val="single" w:sz="12" w:space="0" w:color="auto"/>
              <w:left w:val="single" w:sz="12" w:space="0" w:color="auto"/>
              <w:bottom w:val="nil"/>
              <w:right w:val="nil"/>
            </w:tcBorders>
            <w:shd w:val="clear" w:color="auto" w:fill="auto"/>
            <w:noWrap/>
            <w:vAlign w:val="center"/>
            <w:hideMark/>
          </w:tcPr>
          <w:p w14:paraId="5DDABE61" w14:textId="30D698F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single" w:sz="12" w:space="0" w:color="auto"/>
              <w:left w:val="nil"/>
              <w:bottom w:val="nil"/>
              <w:right w:val="nil"/>
            </w:tcBorders>
            <w:shd w:val="clear" w:color="000000" w:fill="92D050"/>
            <w:noWrap/>
            <w:vAlign w:val="center"/>
            <w:hideMark/>
          </w:tcPr>
          <w:p w14:paraId="2BC66A0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100" w:type="dxa"/>
            <w:tcBorders>
              <w:top w:val="single" w:sz="12" w:space="0" w:color="auto"/>
              <w:left w:val="nil"/>
              <w:bottom w:val="nil"/>
              <w:right w:val="nil"/>
            </w:tcBorders>
            <w:shd w:val="clear" w:color="auto" w:fill="auto"/>
            <w:noWrap/>
            <w:vAlign w:val="center"/>
            <w:hideMark/>
          </w:tcPr>
          <w:p w14:paraId="75DF544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19" w:type="dxa"/>
            <w:tcBorders>
              <w:top w:val="single" w:sz="12" w:space="0" w:color="auto"/>
              <w:left w:val="nil"/>
              <w:bottom w:val="nil"/>
              <w:right w:val="nil"/>
            </w:tcBorders>
            <w:shd w:val="clear" w:color="auto" w:fill="auto"/>
            <w:noWrap/>
            <w:vAlign w:val="center"/>
            <w:hideMark/>
          </w:tcPr>
          <w:p w14:paraId="13B03229"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single" w:sz="12" w:space="0" w:color="auto"/>
              <w:left w:val="nil"/>
              <w:bottom w:val="nil"/>
              <w:right w:val="nil"/>
            </w:tcBorders>
            <w:shd w:val="clear" w:color="auto" w:fill="auto"/>
            <w:noWrap/>
            <w:vAlign w:val="center"/>
            <w:hideMark/>
          </w:tcPr>
          <w:p w14:paraId="6980FBC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single" w:sz="12" w:space="0" w:color="auto"/>
              <w:left w:val="nil"/>
              <w:bottom w:val="nil"/>
              <w:right w:val="nil"/>
            </w:tcBorders>
            <w:shd w:val="clear" w:color="auto" w:fill="auto"/>
            <w:noWrap/>
            <w:vAlign w:val="center"/>
            <w:hideMark/>
          </w:tcPr>
          <w:p w14:paraId="1447D39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3B850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759DED9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80" w:type="dxa"/>
            <w:tcBorders>
              <w:top w:val="nil"/>
              <w:left w:val="single" w:sz="12" w:space="0" w:color="auto"/>
              <w:bottom w:val="nil"/>
              <w:right w:val="nil"/>
            </w:tcBorders>
            <w:shd w:val="clear" w:color="auto" w:fill="auto"/>
            <w:noWrap/>
            <w:vAlign w:val="center"/>
          </w:tcPr>
          <w:p w14:paraId="46B16EC9" w14:textId="285F1AB4"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FF3EB44" w14:textId="2048EAA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B9545CD" w14:textId="6E61280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hideMark/>
          </w:tcPr>
          <w:p w14:paraId="58A3A8DB"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nil"/>
              <w:left w:val="nil"/>
              <w:bottom w:val="nil"/>
              <w:right w:val="nil"/>
            </w:tcBorders>
            <w:shd w:val="clear" w:color="auto" w:fill="auto"/>
            <w:noWrap/>
            <w:vAlign w:val="center"/>
            <w:hideMark/>
          </w:tcPr>
          <w:p w14:paraId="1991BC3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nil"/>
              <w:left w:val="nil"/>
              <w:bottom w:val="nil"/>
              <w:right w:val="nil"/>
            </w:tcBorders>
            <w:shd w:val="clear" w:color="auto" w:fill="auto"/>
            <w:noWrap/>
            <w:vAlign w:val="center"/>
            <w:hideMark/>
          </w:tcPr>
          <w:p w14:paraId="06EF527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EAB866"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546C648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lastRenderedPageBreak/>
              <w:t>DJI_CLOSE</w:t>
            </w:r>
          </w:p>
        </w:tc>
        <w:tc>
          <w:tcPr>
            <w:tcW w:w="1180" w:type="dxa"/>
            <w:tcBorders>
              <w:top w:val="nil"/>
              <w:left w:val="single" w:sz="12" w:space="0" w:color="auto"/>
              <w:bottom w:val="nil"/>
              <w:right w:val="nil"/>
            </w:tcBorders>
            <w:shd w:val="clear" w:color="auto" w:fill="auto"/>
            <w:noWrap/>
            <w:vAlign w:val="center"/>
          </w:tcPr>
          <w:p w14:paraId="5D591483" w14:textId="51B4AB37"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D74C965" w14:textId="5F080500"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445EFF6F" w14:textId="4658FDA9"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000000" w:fill="92D050"/>
            <w:noWrap/>
            <w:vAlign w:val="center"/>
            <w:hideMark/>
          </w:tcPr>
          <w:p w14:paraId="0B7A13B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291" w:type="dxa"/>
            <w:tcBorders>
              <w:top w:val="nil"/>
              <w:left w:val="nil"/>
              <w:bottom w:val="nil"/>
              <w:right w:val="nil"/>
            </w:tcBorders>
            <w:shd w:val="clear" w:color="auto" w:fill="auto"/>
            <w:noWrap/>
            <w:vAlign w:val="center"/>
            <w:hideMark/>
          </w:tcPr>
          <w:p w14:paraId="655293B7"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2BF9BD95"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59D3CCC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5B0EE89"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180" w:type="dxa"/>
            <w:tcBorders>
              <w:top w:val="nil"/>
              <w:left w:val="single" w:sz="12" w:space="0" w:color="auto"/>
              <w:bottom w:val="nil"/>
              <w:right w:val="nil"/>
            </w:tcBorders>
            <w:shd w:val="clear" w:color="auto" w:fill="auto"/>
            <w:noWrap/>
            <w:vAlign w:val="center"/>
          </w:tcPr>
          <w:p w14:paraId="3FBBAA34" w14:textId="7CA4360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D7D5BB8" w14:textId="003B43C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D34589D" w14:textId="0FE9324C"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0C3876C6" w14:textId="53F24260"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hideMark/>
          </w:tcPr>
          <w:p w14:paraId="6D31479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16947ED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34E046ED"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2D6509F3"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180" w:type="dxa"/>
            <w:tcBorders>
              <w:top w:val="nil"/>
              <w:left w:val="single" w:sz="12" w:space="0" w:color="auto"/>
              <w:bottom w:val="nil"/>
              <w:right w:val="nil"/>
            </w:tcBorders>
            <w:shd w:val="clear" w:color="auto" w:fill="auto"/>
            <w:noWrap/>
            <w:vAlign w:val="center"/>
          </w:tcPr>
          <w:p w14:paraId="183B8692" w14:textId="05B47AAE"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EA659F8" w14:textId="4E21E755"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0ED64B26" w14:textId="54FECD96"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4E0DB24B" w14:textId="1E8E527A"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7E7DB7A4" w14:textId="6E53C3E0"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000000" w:fill="92D050"/>
            <w:noWrap/>
            <w:vAlign w:val="center"/>
            <w:hideMark/>
          </w:tcPr>
          <w:p w14:paraId="37FB0AF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r>
      <w:tr w:rsidR="004148FB" w:rsidRPr="004148FB" w14:paraId="5D00F669"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B0DB77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c>
          <w:tcPr>
            <w:tcW w:w="1180" w:type="dxa"/>
            <w:tcBorders>
              <w:top w:val="nil"/>
              <w:left w:val="single" w:sz="12" w:space="0" w:color="auto"/>
              <w:bottom w:val="nil"/>
              <w:right w:val="nil"/>
            </w:tcBorders>
            <w:shd w:val="clear" w:color="auto" w:fill="auto"/>
            <w:noWrap/>
            <w:vAlign w:val="center"/>
          </w:tcPr>
          <w:p w14:paraId="7844CB2A" w14:textId="5FD4C745"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0232F02A" w14:textId="0D6110F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77342FEE" w14:textId="075CC79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281FB1E7" w14:textId="082ED2E1"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62F8BFCF" w14:textId="31684514"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auto" w:fill="auto"/>
            <w:noWrap/>
            <w:vAlign w:val="center"/>
          </w:tcPr>
          <w:p w14:paraId="7BE360AE" w14:textId="3CC01EBE" w:rsidR="004148FB" w:rsidRPr="004148FB" w:rsidRDefault="004148FB" w:rsidP="004148FB">
            <w:pPr>
              <w:spacing w:after="0" w:line="240" w:lineRule="auto"/>
              <w:jc w:val="center"/>
              <w:rPr>
                <w:rFonts w:ascii="Calibri" w:eastAsia="Times New Roman" w:hAnsi="Calibri" w:cs="Calibri"/>
                <w:color w:val="000000"/>
              </w:rPr>
            </w:pPr>
          </w:p>
        </w:tc>
      </w:tr>
    </w:tbl>
    <w:p w14:paraId="07C5D774" w14:textId="77777777" w:rsidR="00DC4D1F" w:rsidRDefault="00DC4D1F" w:rsidP="008E013D"/>
    <w:p w14:paraId="50759E13" w14:textId="42616005"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6" w:history="1">
        <w:r>
          <w:rPr>
            <w:rStyle w:val="Hyperlink"/>
          </w:rPr>
          <w:t>Federal Reserve Economic Data | FRED | St. Louis Fed</w:t>
        </w:r>
      </w:hyperlink>
      <w:r>
        <w:t xml:space="preserve">. We choose to use the Case-Shiller 10 City </w:t>
      </w:r>
      <w:r w:rsidR="00C36271">
        <w:t>Composite</w:t>
      </w:r>
      <w:r>
        <w:t xml:space="preserve"> Home Price Index  </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ABA245A" w:rsidR="00DC4D1F" w:rsidRDefault="006E60BA" w:rsidP="008E013D">
      <w:r>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1129EB"/>
    <w:rsid w:val="001A36D3"/>
    <w:rsid w:val="00312F2D"/>
    <w:rsid w:val="00337610"/>
    <w:rsid w:val="003945CF"/>
    <w:rsid w:val="004148FB"/>
    <w:rsid w:val="004B5AF6"/>
    <w:rsid w:val="004D507F"/>
    <w:rsid w:val="005940F6"/>
    <w:rsid w:val="005D5018"/>
    <w:rsid w:val="0064749C"/>
    <w:rsid w:val="006E60BA"/>
    <w:rsid w:val="00720F7C"/>
    <w:rsid w:val="0074233E"/>
    <w:rsid w:val="00745AB7"/>
    <w:rsid w:val="00764388"/>
    <w:rsid w:val="0085253D"/>
    <w:rsid w:val="00881E9E"/>
    <w:rsid w:val="008E013D"/>
    <w:rsid w:val="0093722D"/>
    <w:rsid w:val="0095679F"/>
    <w:rsid w:val="00965171"/>
    <w:rsid w:val="00975119"/>
    <w:rsid w:val="009E6C36"/>
    <w:rsid w:val="00A3373B"/>
    <w:rsid w:val="00A43C13"/>
    <w:rsid w:val="00AF339D"/>
    <w:rsid w:val="00BD5249"/>
    <w:rsid w:val="00C11B72"/>
    <w:rsid w:val="00C36271"/>
    <w:rsid w:val="00CC7D05"/>
    <w:rsid w:val="00D07FEF"/>
    <w:rsid w:val="00D277E7"/>
    <w:rsid w:val="00DC4D1F"/>
    <w:rsid w:val="00DF5489"/>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d.stlouisfed.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33</cp:revision>
  <dcterms:created xsi:type="dcterms:W3CDTF">2021-04-05T12:16:00Z</dcterms:created>
  <dcterms:modified xsi:type="dcterms:W3CDTF">2021-04-10T13:29:00Z</dcterms:modified>
</cp:coreProperties>
</file>