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3F09"/>
    <w:p w14:paraId="62306C42"/>
    <w:p w14:paraId="64110C9B"/>
    <w:p w14:paraId="2B46505E"/>
    <w:p w14:paraId="4F7B4C38">
      <w:pPr>
        <w:jc w:val="center"/>
      </w:pPr>
      <w:r>
        <w:rPr>
          <w:rFonts w:ascii="Times New Roman" w:hAnsi="Times New Roman" w:eastAsia="黑体"/>
          <w:b/>
          <w:sz w:val="52"/>
        </w:rPr>
        <w:t>长沙市麓康医院信息管理平台</w:t>
      </w:r>
    </w:p>
    <w:p w14:paraId="69FD4CA9">
      <w:pPr>
        <w:jc w:val="center"/>
      </w:pPr>
      <w:r>
        <w:rPr>
          <w:rFonts w:ascii="Times New Roman" w:hAnsi="Times New Roman" w:eastAsia="黑体"/>
          <w:b/>
          <w:sz w:val="68"/>
        </w:rPr>
        <w:t>用户需求说明书</w:t>
      </w:r>
    </w:p>
    <w:p w14:paraId="2206F245">
      <w:pPr>
        <w:jc w:val="center"/>
      </w:pPr>
      <w:r>
        <w:rPr>
          <w:rFonts w:eastAsia="宋体"/>
          <w:sz w:val="26"/>
        </w:rPr>
        <w:t>(Version V1.0)</w:t>
      </w:r>
    </w:p>
    <w:p w14:paraId="3F19013F"/>
    <w:p w14:paraId="379DC47A"/>
    <w:p w14:paraId="46F66B54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494E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BC2F776">
            <w:r>
              <w:rPr>
                <w:rFonts w:ascii="Times New Roman" w:hAnsi="Times New Roman" w:eastAsia="黑体"/>
                <w:b/>
                <w:sz w:val="21"/>
              </w:rPr>
              <w:t>文档名称</w:t>
            </w:r>
          </w:p>
        </w:tc>
        <w:tc>
          <w:tcPr>
            <w:tcW w:w="6803" w:type="dxa"/>
          </w:tcPr>
          <w:p w14:paraId="504FC89F">
            <w:r>
              <w:rPr>
                <w:rFonts w:ascii="Times New Roman" w:hAnsi="Times New Roman" w:eastAsia="宋体"/>
                <w:b w:val="0"/>
                <w:sz w:val="21"/>
              </w:rPr>
              <w:t>长沙市麓康医院信息管理平台 用户需求说明书</w:t>
            </w:r>
          </w:p>
        </w:tc>
      </w:tr>
      <w:tr w14:paraId="305E3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50B1A8">
            <w:r>
              <w:rPr>
                <w:rFonts w:ascii="Times New Roman" w:hAnsi="Times New Roman" w:eastAsia="黑体"/>
                <w:b/>
                <w:sz w:val="21"/>
              </w:rPr>
              <w:t>系统名称</w:t>
            </w:r>
          </w:p>
        </w:tc>
        <w:tc>
          <w:tcPr>
            <w:tcW w:w="6803" w:type="dxa"/>
          </w:tcPr>
          <w:p w14:paraId="6E8544E4">
            <w:r>
              <w:rPr>
                <w:rFonts w:ascii="Times New Roman" w:hAnsi="Times New Roman" w:eastAsia="宋体"/>
                <w:b w:val="0"/>
                <w:sz w:val="21"/>
              </w:rPr>
              <w:t>长沙市麓康医院信息管理平台（HIS）</w:t>
            </w:r>
          </w:p>
        </w:tc>
      </w:tr>
      <w:tr w14:paraId="54167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6417808">
            <w:r>
              <w:rPr>
                <w:rFonts w:ascii="Times New Roman" w:hAnsi="Times New Roman" w:eastAsia="黑体"/>
                <w:b/>
                <w:sz w:val="21"/>
              </w:rPr>
              <w:t>编制单位</w:t>
            </w:r>
          </w:p>
        </w:tc>
        <w:tc>
          <w:tcPr>
            <w:tcW w:w="6803" w:type="dxa"/>
          </w:tcPr>
          <w:p w14:paraId="29917837">
            <w:r>
              <w:rPr>
                <w:rFonts w:ascii="Times New Roman" w:hAnsi="Times New Roman" w:eastAsia="宋体"/>
                <w:b w:val="0"/>
                <w:sz w:val="21"/>
              </w:rPr>
              <w:t>长沙金洲大道天健云麓府不知名公司</w:t>
            </w:r>
          </w:p>
        </w:tc>
      </w:tr>
      <w:tr w14:paraId="073CD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80E9C48">
            <w:r>
              <w:rPr>
                <w:rFonts w:ascii="Times New Roman" w:hAnsi="Times New Roman" w:eastAsia="黑体"/>
                <w:b/>
                <w:sz w:val="21"/>
              </w:rPr>
              <w:t>文档版本</w:t>
            </w:r>
          </w:p>
        </w:tc>
        <w:tc>
          <w:tcPr>
            <w:tcW w:w="6803" w:type="dxa"/>
          </w:tcPr>
          <w:p w14:paraId="16011269"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 w14:paraId="7A6CE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EEFF33">
            <w:r>
              <w:rPr>
                <w:rFonts w:ascii="Times New Roman" w:hAnsi="Times New Roman" w:eastAsia="黑体"/>
                <w:b/>
                <w:sz w:val="21"/>
              </w:rPr>
              <w:t>编制日期</w:t>
            </w:r>
          </w:p>
        </w:tc>
        <w:tc>
          <w:tcPr>
            <w:tcW w:w="6803" w:type="dxa"/>
          </w:tcPr>
          <w:p w14:paraId="2BCB910E">
            <w:r>
              <w:rPr>
                <w:rFonts w:ascii="Times New Roman" w:hAnsi="Times New Roman" w:eastAsia="宋体"/>
                <w:b w:val="0"/>
                <w:sz w:val="21"/>
              </w:rPr>
              <w:t>2026-09-29</w:t>
            </w:r>
          </w:p>
        </w:tc>
      </w:tr>
      <w:tr w14:paraId="5647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3E9097">
            <w:r>
              <w:rPr>
                <w:rFonts w:ascii="Times New Roman" w:hAnsi="Times New Roman" w:eastAsia="黑体"/>
                <w:b/>
                <w:sz w:val="21"/>
              </w:rPr>
              <w:t>诉求来源</w:t>
            </w:r>
          </w:p>
        </w:tc>
        <w:tc>
          <w:tcPr>
            <w:tcW w:w="6803" w:type="dxa"/>
          </w:tcPr>
          <w:p w14:paraId="16FF8BE6">
            <w:r>
              <w:rPr>
                <w:rFonts w:ascii="Times New Roman" w:hAnsi="Times New Roman" w:eastAsia="宋体"/>
                <w:b w:val="0"/>
                <w:sz w:val="21"/>
              </w:rPr>
              <w:t>角色访谈与标准三甲 HIS 盘点（2026-09-28）、运行事件与用户纠正记录（AGENTS.md，含日期）、口径决策记录（sql/196 等）</w:t>
            </w:r>
          </w:p>
        </w:tc>
      </w:tr>
      <w:tr w14:paraId="0C937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AAB55F">
            <w:r>
              <w:rPr>
                <w:rFonts w:ascii="Times New Roman" w:hAnsi="Times New Roman" w:eastAsia="黑体"/>
                <w:b/>
                <w:sz w:val="21"/>
              </w:rPr>
              <w:t>上游文档</w:t>
            </w:r>
          </w:p>
        </w:tc>
        <w:tc>
          <w:tcPr>
            <w:tcW w:w="6803" w:type="dxa"/>
          </w:tcPr>
          <w:p w14:paraId="4E2608B2">
            <w:r>
              <w:rPr>
                <w:rFonts w:ascii="Times New Roman" w:hAnsi="Times New Roman" w:eastAsia="宋体"/>
                <w:b w:val="0"/>
                <w:sz w:val="21"/>
              </w:rPr>
              <w:t>docs/需求规格说明书.doc V1.0（本文逐条引用其 FR 编号并给出落位）</w:t>
            </w:r>
          </w:p>
        </w:tc>
      </w:tr>
      <w:tr w14:paraId="3154E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EB62CB">
            <w:r>
              <w:rPr>
                <w:rFonts w:ascii="Times New Roman" w:hAnsi="Times New Roman" w:eastAsia="黑体"/>
                <w:b/>
                <w:sz w:val="21"/>
              </w:rPr>
              <w:t>密级</w:t>
            </w:r>
          </w:p>
        </w:tc>
        <w:tc>
          <w:tcPr>
            <w:tcW w:w="6803" w:type="dxa"/>
          </w:tcPr>
          <w:p w14:paraId="723C911D">
            <w:r>
              <w:rPr>
                <w:rFonts w:ascii="Times New Roman" w:hAnsi="Times New Roman" w:eastAsia="宋体"/>
                <w:b w:val="0"/>
                <w:sz w:val="21"/>
              </w:rPr>
              <w:t>内部资料</w:t>
            </w:r>
          </w:p>
        </w:tc>
      </w:tr>
    </w:tbl>
    <w:p w14:paraId="68C257C2"/>
    <w:p w14:paraId="25448B47">
      <w:pPr>
        <w:jc w:val="center"/>
      </w:pPr>
      <w:r>
        <w:rPr>
          <w:rFonts w:eastAsia="宋体"/>
          <w:i/>
          <w:sz w:val="18"/>
        </w:rPr>
        <w:t>本文档由 docs/用户需求说明书.md 装配生成；如与仓库根 AGENTS.md 冲突，以 AGENTS.md 为准。</w:t>
      </w:r>
    </w:p>
    <w:p w14:paraId="15225014">
      <w:r>
        <w:br w:type="page"/>
      </w:r>
    </w:p>
    <w:p w14:paraId="6D49522B">
      <w:pPr>
        <w:pStyle w:val="3"/>
      </w:pPr>
      <w:bookmarkStart w:id="0" w:name="_Toc12763"/>
      <w:r>
        <w:rPr>
          <w:rFonts w:ascii="Times New Roman" w:hAnsi="Times New Roman" w:eastAsia="黑体"/>
          <w:b/>
          <w:color w:val="000000"/>
          <w:sz w:val="32"/>
        </w:rPr>
        <w:t>目录</w:t>
      </w:r>
      <w:bookmarkEnd w:id="0"/>
    </w:p>
    <w:p w14:paraId="344B4845">
      <w:pPr>
        <w:pStyle w:val="26"/>
        <w:tabs>
          <w:tab w:val="right" w:leader="dot" w:pos="8958"/>
        </w:tabs>
      </w:pPr>
      <w:r>
        <w:rPr>
          <w:sz w:val="18"/>
        </w:rPr>
        <w:fldChar w:fldCharType="begin"/>
      </w:r>
      <w:r>
        <w:rPr>
          <w:sz w:val="18"/>
        </w:rPr>
        <w:instrText xml:space="preserve">TOC \o "1-3" \h \z \u</w:instrText>
      </w:r>
      <w:r>
        <w:rPr>
          <w:sz w:val="18"/>
        </w:rPr>
        <w:fldChar w:fldCharType="separate"/>
      </w:r>
      <w:r>
        <w:fldChar w:fldCharType="begin"/>
      </w:r>
      <w:r>
        <w:instrText xml:space="preserve"> HYPERLINK \l _Toc12763 </w:instrText>
      </w:r>
      <w:r>
        <w:fldChar w:fldCharType="separate"/>
      </w:r>
      <w:r>
        <w:rPr>
          <w:rFonts w:ascii="Times New Roman" w:hAnsi="Times New Roman" w:eastAsia="黑体"/>
        </w:rPr>
        <w:t>目录</w:t>
      </w:r>
      <w:r>
        <w:tab/>
      </w:r>
      <w:r>
        <w:fldChar w:fldCharType="begin"/>
      </w:r>
      <w:r>
        <w:instrText xml:space="preserve"> PAGEREF _Toc12763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3EC78BB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_Toc4057 </w:instrText>
      </w:r>
      <w:r>
        <w:fldChar w:fldCharType="separate"/>
      </w:r>
      <w:r>
        <w:rPr>
          <w:rFonts w:ascii="Times New Roman" w:hAnsi="Times New Roman" w:eastAsia="黑体"/>
        </w:rPr>
        <w:t>1 引言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6965F5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_Toc23985 </w:instrText>
      </w:r>
      <w:r>
        <w:fldChar w:fldCharType="separate"/>
      </w:r>
      <w:r>
        <w:rPr>
          <w:rFonts w:ascii="Times New Roman" w:hAnsi="Times New Roman" w:eastAsia="黑体"/>
        </w:rPr>
        <w:t>1.1 编写目的</w:t>
      </w:r>
      <w:r>
        <w:tab/>
      </w:r>
      <w:r>
        <w:fldChar w:fldCharType="begin"/>
      </w:r>
      <w:r>
        <w:instrText xml:space="preserve"> PAGEREF _Toc23985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AD4527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_Toc27940 </w:instrText>
      </w:r>
      <w:r>
        <w:fldChar w:fldCharType="separate"/>
      </w:r>
      <w:r>
        <w:rPr>
          <w:rFonts w:ascii="Times New Roman" w:hAnsi="Times New Roman" w:eastAsia="黑体"/>
        </w:rPr>
        <w:t>1.2 读者对象</w:t>
      </w:r>
      <w:r>
        <w:tab/>
      </w:r>
      <w:r>
        <w:fldChar w:fldCharType="begin"/>
      </w:r>
      <w:r>
        <w:instrText xml:space="preserve"> PAGEREF _Toc27940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B0E226D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_Toc647 </w:instrText>
      </w:r>
      <w:r>
        <w:fldChar w:fldCharType="separate"/>
      </w:r>
      <w:r>
        <w:rPr>
          <w:rFonts w:ascii="Times New Roman" w:hAnsi="Times New Roman" w:eastAsia="黑体"/>
        </w:rPr>
        <w:t>1.3 诉求采集方法</w:t>
      </w:r>
      <w:r>
        <w:tab/>
      </w:r>
      <w:r>
        <w:fldChar w:fldCharType="begin"/>
      </w:r>
      <w:r>
        <w:instrText xml:space="preserve"> PAGEREF _Toc647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C75BE94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_Toc11032 </w:instrText>
      </w:r>
      <w:r>
        <w:fldChar w:fldCharType="separate"/>
      </w:r>
      <w:r>
        <w:rPr>
          <w:rFonts w:ascii="Times New Roman" w:hAnsi="Times New Roman" w:eastAsia="黑体"/>
        </w:rPr>
        <w:t>1.4 参考资料</w:t>
      </w:r>
      <w:r>
        <w:tab/>
      </w:r>
      <w:r>
        <w:fldChar w:fldCharType="begin"/>
      </w:r>
      <w:r>
        <w:instrText xml:space="preserve"> PAGEREF _Toc11032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41A25D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_Toc7012 </w:instrText>
      </w:r>
      <w:r>
        <w:fldChar w:fldCharType="separate"/>
      </w:r>
      <w:r>
        <w:rPr>
          <w:rFonts w:ascii="Times New Roman" w:hAnsi="Times New Roman" w:eastAsia="黑体"/>
        </w:rPr>
        <w:t>1.5 术语</w:t>
      </w:r>
      <w:r>
        <w:tab/>
      </w:r>
      <w:r>
        <w:fldChar w:fldCharType="begin"/>
      </w:r>
      <w:r>
        <w:instrText xml:space="preserve"> PAGEREF _Toc7012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9EC7F3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_Toc24567 </w:instrText>
      </w:r>
      <w:r>
        <w:fldChar w:fldCharType="separate"/>
      </w:r>
      <w:r>
        <w:rPr>
          <w:rFonts w:ascii="Times New Roman" w:hAnsi="Times New Roman" w:eastAsia="黑体"/>
        </w:rPr>
        <w:t>2 用户与角色总览</w:t>
      </w:r>
      <w:r>
        <w:tab/>
      </w:r>
      <w:r>
        <w:fldChar w:fldCharType="begin"/>
      </w:r>
      <w:r>
        <w:instrText xml:space="preserve"> PAGEREF _Toc24567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4B16F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_Toc6029 </w:instrText>
      </w:r>
      <w:r>
        <w:fldChar w:fldCharType="separate"/>
      </w:r>
      <w:r>
        <w:rPr>
          <w:rFonts w:ascii="Times New Roman" w:hAnsi="Times New Roman" w:eastAsia="黑体"/>
        </w:rPr>
        <w:t>2.1 干系人清单</w:t>
      </w:r>
      <w:r>
        <w:tab/>
      </w:r>
      <w:r>
        <w:fldChar w:fldCharType="begin"/>
      </w:r>
      <w:r>
        <w:instrText xml:space="preserve"> PAGEREF _Toc6029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8C29D34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_Toc20428 </w:instrText>
      </w:r>
      <w:r>
        <w:fldChar w:fldCharType="separate"/>
      </w:r>
      <w:r>
        <w:rPr>
          <w:rFonts w:ascii="Times New Roman" w:hAnsi="Times New Roman" w:eastAsia="黑体"/>
        </w:rPr>
        <w:t>2.2 身份与视角口径（用户已拍板）</w:t>
      </w:r>
      <w:r>
        <w:tab/>
      </w:r>
      <w:r>
        <w:fldChar w:fldCharType="begin"/>
      </w:r>
      <w:r>
        <w:instrText xml:space="preserve"> PAGEREF _Toc20428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914AEE4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_Toc32056 </w:instrText>
      </w:r>
      <w:r>
        <w:fldChar w:fldCharType="separate"/>
      </w:r>
      <w:r>
        <w:rPr>
          <w:rFonts w:ascii="Times New Roman" w:hAnsi="Times New Roman" w:eastAsia="黑体"/>
        </w:rPr>
        <w:t>3 分角色真实诉求</w:t>
      </w:r>
      <w:r>
        <w:tab/>
      </w:r>
      <w:r>
        <w:fldChar w:fldCharType="begin"/>
      </w:r>
      <w:r>
        <w:instrText xml:space="preserve"> PAGEREF _Toc32056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A2C523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_Toc22767 </w:instrText>
      </w:r>
      <w:r>
        <w:fldChar w:fldCharType="separate"/>
      </w:r>
      <w:r>
        <w:rPr>
          <w:rFonts w:ascii="Times New Roman" w:hAnsi="Times New Roman" w:eastAsia="黑体"/>
        </w:rPr>
        <w:t>3.1 院领导与运营管理人员（门户工作台、报表）</w:t>
      </w:r>
      <w:r>
        <w:tab/>
      </w:r>
      <w:r>
        <w:fldChar w:fldCharType="begin"/>
      </w:r>
      <w:r>
        <w:instrText xml:space="preserve"> PAGEREF _Toc22767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C67CB94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_Toc9863 </w:instrText>
      </w:r>
      <w:r>
        <w:fldChar w:fldCharType="separate"/>
      </w:r>
      <w:r>
        <w:rPr>
          <w:rFonts w:ascii="Times New Roman" w:hAnsi="Times New Roman" w:eastAsia="黑体"/>
        </w:rPr>
        <w:t>3.2 前台挂号员与分诊导诊</w:t>
      </w:r>
      <w:r>
        <w:tab/>
      </w:r>
      <w:r>
        <w:fldChar w:fldCharType="begin"/>
      </w:r>
      <w:r>
        <w:instrText xml:space="preserve"> PAGEREF _Toc9863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D39B29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_Toc13686 </w:instrText>
      </w:r>
      <w:r>
        <w:fldChar w:fldCharType="separate"/>
      </w:r>
      <w:r>
        <w:rPr>
          <w:rFonts w:ascii="Times New Roman" w:hAnsi="Times New Roman" w:eastAsia="黑体"/>
        </w:rPr>
        <w:t>3.3 门诊医生与急诊医生</w:t>
      </w:r>
      <w:r>
        <w:tab/>
      </w:r>
      <w:r>
        <w:fldChar w:fldCharType="begin"/>
      </w:r>
      <w:r>
        <w:instrText xml:space="preserve"> PAGEREF _Toc13686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696CBAE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_Toc5045 </w:instrText>
      </w:r>
      <w:r>
        <w:fldChar w:fldCharType="separate"/>
      </w:r>
      <w:r>
        <w:rPr>
          <w:rFonts w:ascii="Times New Roman" w:hAnsi="Times New Roman" w:eastAsia="黑体"/>
        </w:rPr>
        <w:t>3.4 住院（管床）医生</w:t>
      </w:r>
      <w:r>
        <w:tab/>
      </w:r>
      <w:r>
        <w:fldChar w:fldCharType="begin"/>
      </w:r>
      <w:r>
        <w:instrText xml:space="preserve"> PAGEREF _Toc5045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3B8DA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_Toc16708 </w:instrText>
      </w:r>
      <w:r>
        <w:fldChar w:fldCharType="separate"/>
      </w:r>
      <w:r>
        <w:rPr>
          <w:rFonts w:ascii="Times New Roman" w:hAnsi="Times New Roman" w:eastAsia="黑体"/>
        </w:rPr>
        <w:t>3.5 病区护士与护士长</w:t>
      </w:r>
      <w:r>
        <w:tab/>
      </w:r>
      <w:r>
        <w:fldChar w:fldCharType="begin"/>
      </w:r>
      <w:r>
        <w:instrText xml:space="preserve"> PAGEREF _Toc16708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389C770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_Toc25440 </w:instrText>
      </w:r>
      <w:r>
        <w:fldChar w:fldCharType="separate"/>
      </w:r>
      <w:r>
        <w:rPr>
          <w:rFonts w:ascii="Times New Roman" w:hAnsi="Times New Roman" w:eastAsia="黑体"/>
        </w:rPr>
        <w:t>3.6 药剂科：窗口药师、审方药师、药库采购</w:t>
      </w:r>
      <w:r>
        <w:tab/>
      </w:r>
      <w:r>
        <w:fldChar w:fldCharType="begin"/>
      </w:r>
      <w:r>
        <w:instrText xml:space="preserve"> PAGEREF _Toc25440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189CE90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_Toc12706 </w:instrText>
      </w:r>
      <w:r>
        <w:fldChar w:fldCharType="separate"/>
      </w:r>
      <w:r>
        <w:rPr>
          <w:rFonts w:ascii="Times New Roman" w:hAnsi="Times New Roman" w:eastAsia="黑体"/>
        </w:rPr>
        <w:t>3.7 医技科室（检验、检查、心电、病理、血库、血透）</w:t>
      </w:r>
      <w:r>
        <w:tab/>
      </w:r>
      <w:r>
        <w:fldChar w:fldCharType="begin"/>
      </w:r>
      <w:r>
        <w:instrText xml:space="preserve"> PAGEREF _Toc12706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C1CC7A3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_Toc19017 </w:instrText>
      </w:r>
      <w:r>
        <w:fldChar w:fldCharType="separate"/>
      </w:r>
      <w:r>
        <w:rPr>
          <w:rFonts w:ascii="Times New Roman" w:hAnsi="Times New Roman" w:eastAsia="黑体"/>
        </w:rPr>
        <w:t>3.8 收费员、出纳与财务人员</w:t>
      </w:r>
      <w:r>
        <w:tab/>
      </w:r>
      <w:r>
        <w:fldChar w:fldCharType="begin"/>
      </w:r>
      <w:r>
        <w:instrText xml:space="preserve"> PAGEREF _Toc19017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F7BD168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_Toc21119 </w:instrText>
      </w:r>
      <w:r>
        <w:fldChar w:fldCharType="separate"/>
      </w:r>
      <w:r>
        <w:rPr>
          <w:rFonts w:ascii="Times New Roman" w:hAnsi="Times New Roman" w:eastAsia="黑体"/>
        </w:rPr>
        <w:t>3.9 医保办</w:t>
      </w:r>
      <w:r>
        <w:tab/>
      </w:r>
      <w:r>
        <w:fldChar w:fldCharType="begin"/>
      </w:r>
      <w:r>
        <w:instrText xml:space="preserve"> PAGEREF _Toc21119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E9A436C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_Toc28171 </w:instrText>
      </w:r>
      <w:r>
        <w:fldChar w:fldCharType="separate"/>
      </w:r>
      <w:r>
        <w:rPr>
          <w:rFonts w:ascii="Times New Roman" w:hAnsi="Times New Roman" w:eastAsia="黑体"/>
        </w:rPr>
        <w:t>3.10 病案室、质控科、院感科、公卫科</w:t>
      </w:r>
      <w:r>
        <w:tab/>
      </w:r>
      <w:r>
        <w:fldChar w:fldCharType="begin"/>
      </w:r>
      <w:r>
        <w:instrText xml:space="preserve"> PAGEREF _Toc28171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698DEF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_Toc16074 </w:instrText>
      </w:r>
      <w:r>
        <w:fldChar w:fldCharType="separate"/>
      </w:r>
      <w:r>
        <w:rPr>
          <w:rFonts w:ascii="Times New Roman" w:hAnsi="Times New Roman" w:eastAsia="黑体"/>
        </w:rPr>
        <w:t>3.11 患者与家属（小程序端）</w:t>
      </w:r>
      <w:r>
        <w:tab/>
      </w:r>
      <w:r>
        <w:fldChar w:fldCharType="begin"/>
      </w:r>
      <w:r>
        <w:instrText xml:space="preserve"> PAGEREF _Toc16074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5E4AFCB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_Toc25240 </w:instrText>
      </w:r>
      <w:r>
        <w:fldChar w:fldCharType="separate"/>
      </w:r>
      <w:r>
        <w:rPr>
          <w:rFonts w:ascii="Times New Roman" w:hAnsi="Times New Roman" w:eastAsia="黑体"/>
        </w:rPr>
        <w:t>3.12 患者主档与档案岗（病案/登记窗口）</w:t>
      </w:r>
      <w:r>
        <w:tab/>
      </w:r>
      <w:r>
        <w:fldChar w:fldCharType="begin"/>
      </w:r>
      <w:r>
        <w:instrText xml:space="preserve"> PAGEREF _Toc25240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1D16ADE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_Toc29826 </w:instrText>
      </w:r>
      <w:r>
        <w:fldChar w:fldCharType="separate"/>
      </w:r>
      <w:r>
        <w:rPr>
          <w:rFonts w:ascii="Times New Roman" w:hAnsi="Times New Roman" w:eastAsia="黑体"/>
        </w:rPr>
        <w:t>3.13 物资、设备科与总务</w:t>
      </w:r>
      <w:r>
        <w:tab/>
      </w:r>
      <w:r>
        <w:fldChar w:fldCharType="begin"/>
      </w:r>
      <w:r>
        <w:instrText xml:space="preserve"> PAGEREF _Toc29826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D0DF34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_Toc18549 </w:instrText>
      </w:r>
      <w:r>
        <w:fldChar w:fldCharType="separate"/>
      </w:r>
      <w:r>
        <w:rPr>
          <w:rFonts w:ascii="Times New Roman" w:hAnsi="Times New Roman" w:eastAsia="黑体"/>
        </w:rPr>
        <w:t>3.14 总值班与各科室二线</w:t>
      </w:r>
      <w:r>
        <w:tab/>
      </w:r>
      <w:r>
        <w:fldChar w:fldCharType="begin"/>
      </w:r>
      <w:r>
        <w:instrText xml:space="preserve"> PAGEREF _Toc18549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BF87976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_Toc27255 </w:instrText>
      </w:r>
      <w:r>
        <w:fldChar w:fldCharType="separate"/>
      </w:r>
      <w:r>
        <w:rPr>
          <w:rFonts w:ascii="Times New Roman" w:hAnsi="Times New Roman" w:eastAsia="黑体"/>
        </w:rPr>
        <w:t>3.15 人事与组织管理岗</w:t>
      </w:r>
      <w:r>
        <w:tab/>
      </w:r>
      <w:r>
        <w:fldChar w:fldCharType="begin"/>
      </w:r>
      <w:r>
        <w:instrText xml:space="preserve"> PAGEREF _Toc27255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A7200B8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_Toc14867 </w:instrText>
      </w:r>
      <w:r>
        <w:fldChar w:fldCharType="separate"/>
      </w:r>
      <w:r>
        <w:rPr>
          <w:rFonts w:ascii="Times New Roman" w:hAnsi="Times New Roman" w:eastAsia="黑体"/>
        </w:rPr>
        <w:t>3.16 系统管理员与信息科</w:t>
      </w:r>
      <w:r>
        <w:tab/>
      </w:r>
      <w:r>
        <w:fldChar w:fldCharType="begin"/>
      </w:r>
      <w:r>
        <w:instrText xml:space="preserve"> PAGEREF _Toc14867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82D046E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_Toc15561 </w:instrText>
      </w:r>
      <w:r>
        <w:fldChar w:fldCharType="separate"/>
      </w:r>
      <w:r>
        <w:rPr>
          <w:rFonts w:ascii="Times New Roman" w:hAnsi="Times New Roman" w:eastAsia="黑体"/>
        </w:rPr>
        <w:t>4 跨角色共性诉求（全站口径，用户已拍板）</w:t>
      </w:r>
      <w:r>
        <w:tab/>
      </w:r>
      <w:r>
        <w:fldChar w:fldCharType="begin"/>
      </w:r>
      <w:r>
        <w:instrText xml:space="preserve"> PAGEREF _Toc15561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A0D448D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_Toc26808 </w:instrText>
      </w:r>
      <w:r>
        <w:fldChar w:fldCharType="separate"/>
      </w:r>
      <w:r>
        <w:rPr>
          <w:rFonts w:ascii="Times New Roman" w:hAnsi="Times New Roman" w:eastAsia="黑体"/>
        </w:rPr>
        <w:t>5 真实运行事件复盘（诉求的现实由来）</w:t>
      </w:r>
      <w:r>
        <w:tab/>
      </w:r>
      <w:r>
        <w:fldChar w:fldCharType="begin"/>
      </w:r>
      <w:r>
        <w:instrText xml:space="preserve"> PAGEREF _Toc26808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6FBAE41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_Toc28329 </w:instrText>
      </w:r>
      <w:r>
        <w:fldChar w:fldCharType="separate"/>
      </w:r>
      <w:r>
        <w:rPr>
          <w:rFonts w:ascii="Times New Roman" w:hAnsi="Times New Roman" w:eastAsia="黑体"/>
        </w:rPr>
        <w:t>5.1 「点切换角色就被踢回登录页」</w:t>
      </w:r>
      <w:r>
        <w:tab/>
      </w:r>
      <w:r>
        <w:fldChar w:fldCharType="begin"/>
      </w:r>
      <w:r>
        <w:instrText xml:space="preserve"> PAGEREF _Toc28329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69CB415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_Toc3532 </w:instrText>
      </w:r>
      <w:r>
        <w:fldChar w:fldCharType="separate"/>
      </w:r>
      <w:r>
        <w:rPr>
          <w:rFonts w:ascii="Times New Roman" w:hAnsi="Times New Roman" w:eastAsia="黑体"/>
        </w:rPr>
        <w:t>5.2 「下拉空掉、页面像崩了」</w:t>
      </w:r>
      <w:r>
        <w:tab/>
      </w:r>
      <w:r>
        <w:fldChar w:fldCharType="begin"/>
      </w:r>
      <w:r>
        <w:instrText xml:space="preserve"> PAGEREF _Toc3532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A9F9362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_Toc29423 </w:instrText>
      </w:r>
      <w:r>
        <w:fldChar w:fldCharType="separate"/>
      </w:r>
      <w:r>
        <w:rPr>
          <w:rFonts w:ascii="Times New Roman" w:hAnsi="Times New Roman" w:eastAsia="黑体"/>
        </w:rPr>
        <w:t>5.3 「收费员现金清点必然多出一块说不来的差额」</w:t>
      </w:r>
      <w:r>
        <w:tab/>
      </w:r>
      <w:r>
        <w:fldChar w:fldCharType="begin"/>
      </w:r>
      <w:r>
        <w:instrText xml:space="preserve"> PAGEREF _Toc29423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EBDF60F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_Toc15249 </w:instrText>
      </w:r>
      <w:r>
        <w:fldChar w:fldCharType="separate"/>
      </w:r>
      <w:r>
        <w:rPr>
          <w:rFonts w:ascii="Times New Roman" w:hAnsi="Times New Roman" w:eastAsia="黑体"/>
        </w:rPr>
        <w:t>5.4 管理员排出一排「主岗位」</w:t>
      </w:r>
      <w:r>
        <w:tab/>
      </w:r>
      <w:r>
        <w:fldChar w:fldCharType="begin"/>
      </w:r>
      <w:r>
        <w:instrText xml:space="preserve"> PAGEREF _Toc15249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589D0F6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_Toc31353 </w:instrText>
      </w:r>
      <w:r>
        <w:fldChar w:fldCharType="separate"/>
      </w:r>
      <w:r>
        <w:rPr>
          <w:rFonts w:ascii="Times New Roman" w:hAnsi="Times New Roman" w:eastAsia="黑体"/>
        </w:rPr>
        <w:t>5.5 「下一次保存把真号洗成星号」</w:t>
      </w:r>
      <w:r>
        <w:tab/>
      </w:r>
      <w:r>
        <w:fldChar w:fldCharType="begin"/>
      </w:r>
      <w:r>
        <w:instrText xml:space="preserve"> PAGEREF _Toc31353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728E0B9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_Toc12424 </w:instrText>
      </w:r>
      <w:r>
        <w:fldChar w:fldCharType="separate"/>
      </w:r>
      <w:r>
        <w:rPr>
          <w:rFonts w:ascii="Times New Roman" w:hAnsi="Times New Roman" w:eastAsia="黑体"/>
        </w:rPr>
        <w:t>5.6 「记账失败升级成 500，用户连失败原因都看不到」</w:t>
      </w:r>
      <w:r>
        <w:tab/>
      </w:r>
      <w:r>
        <w:fldChar w:fldCharType="begin"/>
      </w:r>
      <w:r>
        <w:instrText xml:space="preserve"> PAGEREF _Toc12424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FA9EF03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_Toc15988 </w:instrText>
      </w:r>
      <w:r>
        <w:fldChar w:fldCharType="separate"/>
      </w:r>
      <w:r>
        <w:rPr>
          <w:rFonts w:ascii="Times New Roman" w:hAnsi="Times New Roman" w:eastAsia="黑体"/>
        </w:rPr>
        <w:t>5.7 「现象与后端挂了完全一样」</w:t>
      </w:r>
      <w:r>
        <w:tab/>
      </w:r>
      <w:r>
        <w:fldChar w:fldCharType="begin"/>
      </w:r>
      <w:r>
        <w:instrText xml:space="preserve"> PAGEREF _Toc15988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68E6FC2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_Toc11028 </w:instrText>
      </w:r>
      <w:r>
        <w:fldChar w:fldCharType="separate"/>
      </w:r>
      <w:r>
        <w:rPr>
          <w:rFonts w:ascii="Times New Roman" w:hAnsi="Times New Roman" w:eastAsia="黑体"/>
        </w:rPr>
        <w:t>5.8 「删了重建必然撞唯一键」</w:t>
      </w:r>
      <w:r>
        <w:tab/>
      </w:r>
      <w:r>
        <w:fldChar w:fldCharType="begin"/>
      </w:r>
      <w:r>
        <w:instrText xml:space="preserve"> PAGEREF _Toc11028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4E1258E">
      <w:pPr>
        <w:pStyle w:val="29"/>
        <w:tabs>
          <w:tab w:val="right" w:leader="dot" w:pos="8958"/>
        </w:tabs>
      </w:pPr>
      <w:r>
        <w:fldChar w:fldCharType="begin"/>
      </w:r>
      <w:r>
        <w:instrText xml:space="preserve"> HYPERLINK \l _Toc28157 </w:instrText>
      </w:r>
      <w:r>
        <w:fldChar w:fldCharType="separate"/>
      </w:r>
      <w:r>
        <w:rPr>
          <w:rFonts w:ascii="Times New Roman" w:hAnsi="Times New Roman" w:eastAsia="黑体"/>
        </w:rPr>
        <w:t>5.9 铺底数据口径</w:t>
      </w:r>
      <w:r>
        <w:tab/>
      </w:r>
      <w:r>
        <w:fldChar w:fldCharType="begin"/>
      </w:r>
      <w:r>
        <w:instrText xml:space="preserve"> PAGEREF _Toc28157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996D23F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_Toc26390 </w:instrText>
      </w:r>
      <w:r>
        <w:fldChar w:fldCharType="separate"/>
      </w:r>
      <w:r>
        <w:rPr>
          <w:rFonts w:ascii="Times New Roman" w:hAnsi="Times New Roman" w:eastAsia="黑体"/>
        </w:rPr>
        <w:t>6 合规与评审驱动的诉求</w:t>
      </w:r>
      <w:r>
        <w:tab/>
      </w:r>
      <w:r>
        <w:fldChar w:fldCharType="begin"/>
      </w:r>
      <w:r>
        <w:instrText xml:space="preserve"> PAGEREF _Toc26390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BA2A140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_Toc25021 </w:instrText>
      </w:r>
      <w:r>
        <w:fldChar w:fldCharType="separate"/>
      </w:r>
      <w:r>
        <w:rPr>
          <w:rFonts w:ascii="Times New Roman" w:hAnsi="Times New Roman" w:eastAsia="黑体"/>
        </w:rPr>
        <w:t>7 诉求追溯矩阵</w:t>
      </w:r>
      <w:r>
        <w:tab/>
      </w:r>
      <w:r>
        <w:fldChar w:fldCharType="begin"/>
      </w:r>
      <w:r>
        <w:instrText xml:space="preserve"> PAGEREF _Toc25021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9D2FBCA">
      <w:pPr>
        <w:pStyle w:val="26"/>
        <w:tabs>
          <w:tab w:val="right" w:leader="dot" w:pos="8958"/>
        </w:tabs>
      </w:pPr>
      <w:r>
        <w:fldChar w:fldCharType="begin"/>
      </w:r>
      <w:r>
        <w:instrText xml:space="preserve"> HYPERLINK \l _Toc32158 </w:instrText>
      </w:r>
      <w:r>
        <w:fldChar w:fldCharType="separate"/>
      </w:r>
      <w:r>
        <w:rPr>
          <w:rFonts w:ascii="Times New Roman" w:hAnsi="Times New Roman" w:eastAsia="黑体"/>
        </w:rPr>
        <w:t>8 诉求确认与变更管理</w:t>
      </w:r>
      <w:r>
        <w:tab/>
      </w:r>
      <w:r>
        <w:fldChar w:fldCharType="begin"/>
      </w:r>
      <w:r>
        <w:instrText xml:space="preserve"> PAGEREF _Toc32158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A350827">
      <w:r>
        <w:fldChar w:fldCharType="end"/>
      </w:r>
    </w:p>
    <w:p w14:paraId="6304318A">
      <w:r>
        <w:br w:type="page"/>
      </w:r>
    </w:p>
    <w:p w14:paraId="047E4875">
      <w:pPr>
        <w:pStyle w:val="3"/>
        <w:keepNext/>
        <w:spacing w:before="240" w:after="120"/>
      </w:pPr>
      <w:bookmarkStart w:id="1" w:name="_Toc4057"/>
      <w:r>
        <w:rPr>
          <w:rFonts w:ascii="Times New Roman" w:hAnsi="Times New Roman" w:eastAsia="黑体"/>
          <w:b/>
          <w:color w:val="000000"/>
          <w:sz w:val="32"/>
        </w:rPr>
        <w:t>1 引言</w:t>
      </w:r>
      <w:bookmarkEnd w:id="1"/>
    </w:p>
    <w:p w14:paraId="5EDC4D38">
      <w:pPr>
        <w:pStyle w:val="4"/>
        <w:keepNext/>
        <w:spacing w:before="160" w:after="120"/>
      </w:pPr>
      <w:bookmarkStart w:id="2" w:name="_Toc23985"/>
      <w:r>
        <w:rPr>
          <w:rFonts w:ascii="Times New Roman" w:hAnsi="Times New Roman" w:eastAsia="黑体"/>
          <w:b/>
          <w:color w:val="000000"/>
          <w:sz w:val="27"/>
        </w:rPr>
        <w:t>1.1 编写目的</w:t>
      </w:r>
      <w:bookmarkEnd w:id="2"/>
    </w:p>
    <w:p w14:paraId="15441D21">
      <w:r>
        <w:rPr>
          <w:rFonts w:ascii="Times New Roman" w:hAnsi="Times New Roman" w:eastAsia="宋体"/>
          <w:b w:val="0"/>
          <w:sz w:val="21"/>
        </w:rPr>
        <w:t>本文档记录长沙市麓康医院信息管理平台（HIS）各利益相关方——业务管理人员、医生、护士、药剂与医技人员、收费与财务人员、病案与质控人员、系统管理员以及患者——的</w:t>
      </w:r>
      <w:r>
        <w:rPr>
          <w:rFonts w:ascii="Times New Roman" w:hAnsi="Times New Roman" w:eastAsia="黑体"/>
          <w:b/>
          <w:sz w:val="21"/>
        </w:rPr>
        <w:t>真实诉求</w:t>
      </w:r>
      <w:r>
        <w:rPr>
          <w:rFonts w:ascii="Times New Roman" w:hAnsi="Times New Roman" w:eastAsia="宋体"/>
          <w:b w:val="0"/>
          <w:sz w:val="21"/>
        </w:rPr>
        <w:t>：他们每天做什么、希望系统替他们解决什么、以及在实施与试运行过程中实际提出过什么、被什么伤害过。</w:t>
      </w:r>
    </w:p>
    <w:p w14:paraId="3F306AA0">
      <w:r>
        <w:rPr>
          <w:rFonts w:ascii="Times New Roman" w:hAnsi="Times New Roman" w:eastAsia="宋体"/>
          <w:b w:val="0"/>
          <w:sz w:val="21"/>
        </w:rPr>
        <w:t>本文与《需求规格说明书》（docs/需求规格说明书.doc V1.0）的分工是：</w:t>
      </w:r>
      <w:r>
        <w:rPr>
          <w:rFonts w:ascii="Times New Roman" w:hAnsi="Times New Roman" w:eastAsia="黑体"/>
          <w:b/>
          <w:sz w:val="21"/>
        </w:rPr>
        <w:t>需求规格说明书回答"系统必须做什么"（FR 条款），本文回答"谁提出、为什么、痛在哪"</w:t>
      </w:r>
      <w:r>
        <w:rPr>
          <w:rFonts w:ascii="Times New Roman" w:hAnsi="Times New Roman" w:eastAsia="宋体"/>
          <w:b w:val="0"/>
          <w:sz w:val="21"/>
        </w:rPr>
        <w:t>。每条诉求均给出落位（对应 FR 条款族与详细设计章节），可直接追溯；两者冲突时以《需求规格说明书》与仓库根 AGENTS.md 为准。</w:t>
      </w:r>
    </w:p>
    <w:p w14:paraId="6A15F2EE">
      <w:pPr>
        <w:pStyle w:val="4"/>
        <w:keepNext/>
        <w:spacing w:before="160" w:after="120"/>
      </w:pPr>
      <w:bookmarkStart w:id="3" w:name="_Toc27940"/>
      <w:r>
        <w:rPr>
          <w:rFonts w:ascii="Times New Roman" w:hAnsi="Times New Roman" w:eastAsia="黑体"/>
          <w:b/>
          <w:color w:val="000000"/>
          <w:sz w:val="27"/>
        </w:rPr>
        <w:t>1.2 读者对象</w:t>
      </w:r>
      <w:bookmarkEnd w:id="3"/>
    </w:p>
    <w:p w14:paraId="052359C4">
      <w:r>
        <w:rPr>
          <w:rFonts w:ascii="Times New Roman" w:hAnsi="Times New Roman" w:eastAsia="宋体"/>
          <w:b w:val="0"/>
          <w:sz w:val="21"/>
        </w:rPr>
        <w:t>医院信息科与项目组（需求核对）、各岗位业务代表（确认诉求是否被完整表达）、开发与测试人员（理解条款背后的动机）、监理与评审专家。</w:t>
      </w:r>
    </w:p>
    <w:p w14:paraId="20D78BFE">
      <w:pPr>
        <w:pStyle w:val="4"/>
        <w:keepNext/>
        <w:spacing w:before="160" w:after="120"/>
      </w:pPr>
      <w:bookmarkStart w:id="4" w:name="_Toc647"/>
      <w:r>
        <w:rPr>
          <w:rFonts w:ascii="Times New Roman" w:hAnsi="Times New Roman" w:eastAsia="黑体"/>
          <w:b/>
          <w:color w:val="000000"/>
          <w:sz w:val="27"/>
        </w:rPr>
        <w:t>1.3 诉求采集方法</w:t>
      </w:r>
      <w:bookmarkEnd w:id="4"/>
    </w:p>
    <w:p w14:paraId="62A30332">
      <w:r>
        <w:rPr>
          <w:rFonts w:ascii="Times New Roman" w:hAnsi="Times New Roman" w:eastAsia="宋体"/>
          <w:b w:val="0"/>
          <w:sz w:val="21"/>
        </w:rPr>
        <w:t>本文诉求来自三类</w:t>
      </w:r>
      <w:r>
        <w:rPr>
          <w:rFonts w:ascii="Times New Roman" w:hAnsi="Times New Roman" w:eastAsia="黑体"/>
          <w:b/>
          <w:sz w:val="21"/>
        </w:rPr>
        <w:t>一手素材</w:t>
      </w:r>
      <w:r>
        <w:rPr>
          <w:rFonts w:ascii="Times New Roman" w:hAnsi="Times New Roman" w:eastAsia="宋体"/>
          <w:b w:val="0"/>
          <w:sz w:val="21"/>
        </w:rPr>
        <w:t>，不引入任何虚构访谈：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6CBC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B221D1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渠道</w:t>
            </w:r>
          </w:p>
        </w:tc>
        <w:tc>
          <w:tcPr>
            <w:tcW w:w="2986" w:type="dxa"/>
            <w:shd w:val="clear" w:color="auto" w:fill="E8EEF5"/>
          </w:tcPr>
          <w:p w14:paraId="3C2724B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  <w:tc>
          <w:tcPr>
            <w:tcW w:w="2986" w:type="dxa"/>
            <w:shd w:val="clear" w:color="auto" w:fill="E8EEF5"/>
          </w:tcPr>
          <w:p w14:paraId="1C5B6FE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时间范围</w:t>
            </w:r>
          </w:p>
        </w:tc>
      </w:tr>
      <w:tr w14:paraId="799D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78FBF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实施过程中的角色访谈与评审记录</w:t>
            </w:r>
          </w:p>
        </w:tc>
        <w:tc>
          <w:tcPr>
            <w:tcW w:w="2986" w:type="dxa"/>
          </w:tcPr>
          <w:p w14:paraId="355B4F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逐域对照标准三甲 HIS 盘点菜单与功能缺口（12 个一级目录 / 110 个二级菜单 vs 标准 HIS）</w:t>
            </w:r>
          </w:p>
        </w:tc>
        <w:tc>
          <w:tcPr>
            <w:tcW w:w="2986" w:type="dxa"/>
          </w:tcPr>
          <w:p w14:paraId="35B737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2026-09-28 起</w:t>
            </w:r>
          </w:p>
        </w:tc>
      </w:tr>
      <w:tr w14:paraId="61836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C452E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运行事件与用户纠正记录</w:t>
            </w:r>
          </w:p>
        </w:tc>
        <w:tc>
          <w:tcPr>
            <w:tcW w:w="2986" w:type="dxa"/>
          </w:tcPr>
          <w:p w14:paraId="6624DD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开发/试运行期间真实发生的事故与用户明确指示，逐条沉淀于仓库根 AGENTS.md（含日期）</w:t>
            </w:r>
          </w:p>
        </w:tc>
        <w:tc>
          <w:tcPr>
            <w:tcW w:w="2986" w:type="dxa"/>
          </w:tcPr>
          <w:p w14:paraId="2BF1B8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2026-09-25 起</w:t>
            </w:r>
          </w:p>
        </w:tc>
      </w:tr>
      <w:tr w14:paraId="07BF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D4B78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口径决策记录</w:t>
            </w:r>
          </w:p>
        </w:tc>
        <w:tc>
          <w:tcPr>
            <w:tcW w:w="2986" w:type="dxa"/>
          </w:tcPr>
          <w:p w14:paraId="253283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用户对全站性机制的明确拍板（菜单顺序、分页旋钮、脱敏口径、岗位模型等）</w:t>
            </w:r>
          </w:p>
        </w:tc>
        <w:tc>
          <w:tcPr>
            <w:tcW w:w="2986" w:type="dxa"/>
          </w:tcPr>
          <w:p w14:paraId="5DA91A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 全月</w:t>
            </w:r>
          </w:p>
        </w:tc>
      </w:tr>
    </w:tbl>
    <w:p w14:paraId="4D08298B">
      <w:pPr>
        <w:spacing w:after="40"/>
      </w:pPr>
    </w:p>
    <w:p w14:paraId="3D91A983">
      <w:r>
        <w:rPr>
          <w:rFonts w:ascii="Times New Roman" w:hAnsi="Times New Roman" w:eastAsia="宋体"/>
          <w:b w:val="0"/>
          <w:sz w:val="21"/>
        </w:rPr>
        <w:t>优先级口径：</w:t>
      </w:r>
      <w:r>
        <w:rPr>
          <w:rFonts w:ascii="Times New Roman" w:hAnsi="Times New Roman" w:eastAsia="黑体"/>
          <w:b/>
          <w:sz w:val="21"/>
        </w:rPr>
        <w:t>P1</w:t>
      </w:r>
      <w:r>
        <w:rPr>
          <w:rFonts w:ascii="Times New Roman" w:hAnsi="Times New Roman" w:eastAsia="宋体"/>
          <w:b w:val="0"/>
          <w:sz w:val="21"/>
        </w:rPr>
        <w:t>-不做该岗位工作无法开展；</w:t>
      </w:r>
      <w:r>
        <w:rPr>
          <w:rFonts w:ascii="Times New Roman" w:hAnsi="Times New Roman" w:eastAsia="黑体"/>
          <w:b/>
          <w:sz w:val="21"/>
        </w:rPr>
        <w:t>P2</w:t>
      </w:r>
      <w:r>
        <w:rPr>
          <w:rFonts w:ascii="Times New Roman" w:hAnsi="Times New Roman" w:eastAsia="宋体"/>
          <w:b w:val="0"/>
          <w:sz w:val="21"/>
        </w:rPr>
        <w:t>-明显低效或存在差错风险；</w:t>
      </w:r>
      <w:r>
        <w:rPr>
          <w:rFonts w:ascii="Times New Roman" w:hAnsi="Times New Roman" w:eastAsia="黑体"/>
          <w:b/>
          <w:sz w:val="21"/>
        </w:rPr>
        <w:t>P3</w:t>
      </w:r>
      <w:r>
        <w:rPr>
          <w:rFonts w:ascii="Times New Roman" w:hAnsi="Times New Roman" w:eastAsia="宋体"/>
          <w:b w:val="0"/>
          <w:sz w:val="21"/>
        </w:rPr>
        <w:t>-体验增强。</w:t>
      </w:r>
    </w:p>
    <w:p w14:paraId="640DC497">
      <w:pPr>
        <w:pStyle w:val="4"/>
        <w:keepNext/>
        <w:spacing w:before="160" w:after="120"/>
      </w:pPr>
      <w:bookmarkStart w:id="5" w:name="_Toc11032"/>
      <w:r>
        <w:rPr>
          <w:rFonts w:ascii="Times New Roman" w:hAnsi="Times New Roman" w:eastAsia="黑体"/>
          <w:b/>
          <w:color w:val="000000"/>
          <w:sz w:val="27"/>
        </w:rPr>
        <w:t>1.4 参考资料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4B91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4F976E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资料</w:t>
            </w:r>
          </w:p>
        </w:tc>
        <w:tc>
          <w:tcPr>
            <w:tcW w:w="4479" w:type="dxa"/>
            <w:shd w:val="clear" w:color="auto" w:fill="E8EEF5"/>
          </w:tcPr>
          <w:p w14:paraId="1985A92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</w:tr>
      <w:tr w14:paraId="55E48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4C217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docs/需求规格说明书.doc V1.0</w:t>
            </w:r>
          </w:p>
        </w:tc>
        <w:tc>
          <w:tcPr>
            <w:tcW w:w="4479" w:type="dxa"/>
          </w:tcPr>
          <w:p w14:paraId="13A661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 条款权威源（本文逐条引用其 FR 编号）</w:t>
            </w:r>
          </w:p>
        </w:tc>
      </w:tr>
      <w:tr w14:paraId="58D7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58A09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docs/业务架构设计说明书.md</w:t>
            </w:r>
          </w:p>
        </w:tc>
        <w:tc>
          <w:tcPr>
            <w:tcW w:w="4479" w:type="dxa"/>
          </w:tcPr>
          <w:p w14:paraId="64B20A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业务域划分与角色全景</w:t>
            </w:r>
          </w:p>
        </w:tc>
      </w:tr>
      <w:tr w14:paraId="6535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D65E6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docs/概要设计说明书.md/.docx V1.0</w:t>
            </w:r>
          </w:p>
        </w:tc>
        <w:tc>
          <w:tcPr>
            <w:tcW w:w="4479" w:type="dxa"/>
          </w:tcPr>
          <w:p w14:paraId="74132B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模块划分、域→详细设计章节映射</w:t>
            </w:r>
          </w:p>
        </w:tc>
      </w:tr>
      <w:tr w14:paraId="2E76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6904C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docs/详细设计说明书.docx V1.0</w:t>
            </w:r>
          </w:p>
        </w:tc>
        <w:tc>
          <w:tcPr>
            <w:tcW w:w="4479" w:type="dxa"/>
          </w:tcPr>
          <w:p w14:paraId="368DB1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26 章详细设计，本文"落位"列引用的章节号以其为准</w:t>
            </w:r>
          </w:p>
        </w:tc>
      </w:tr>
      <w:tr w14:paraId="6B83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D7215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仓库根 AGENTS.md</w:t>
            </w:r>
          </w:p>
        </w:tc>
        <w:tc>
          <w:tcPr>
            <w:tcW w:w="4479" w:type="dxa"/>
          </w:tcPr>
          <w:p w14:paraId="65FF41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运行事件与用户指示的逐条记录</w:t>
            </w:r>
          </w:p>
        </w:tc>
      </w:tr>
      <w:tr w14:paraId="798F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06DC8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docs/sql/（23 个领域文件、302 张表）</w:t>
            </w:r>
          </w:p>
        </w:tc>
        <w:tc>
          <w:tcPr>
            <w:tcW w:w="4479" w:type="dxa"/>
          </w:tcPr>
          <w:p w14:paraId="75D625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全库结构基线</w:t>
            </w:r>
          </w:p>
        </w:tc>
      </w:tr>
    </w:tbl>
    <w:p w14:paraId="1E0B6134">
      <w:pPr>
        <w:spacing w:after="40"/>
      </w:pPr>
    </w:p>
    <w:p w14:paraId="2E99A2EF">
      <w:pPr>
        <w:pStyle w:val="4"/>
        <w:keepNext/>
        <w:spacing w:before="160" w:after="120"/>
      </w:pPr>
      <w:bookmarkStart w:id="6" w:name="_Toc7012"/>
      <w:r>
        <w:rPr>
          <w:rFonts w:ascii="Times New Roman" w:hAnsi="Times New Roman" w:eastAsia="黑体"/>
          <w:b/>
          <w:color w:val="000000"/>
          <w:sz w:val="27"/>
        </w:rPr>
        <w:t>1.5 术语</w:t>
      </w:r>
      <w:bookmarkEnd w:id="6"/>
    </w:p>
    <w:p w14:paraId="0D94E6D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岗位（Post）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 xml:space="preserve"> 一行 = 员工 × 角色 × 科室，是系统内身份的唯一口径；本文中"角色"与"岗位"分别沿用业务口语与系统口径。</w:t>
      </w:r>
    </w:p>
    <w:p w14:paraId="099A3939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诉求（URS 条目）</w:t>
      </w:r>
      <w:r>
        <w:rPr>
          <w:rFonts w:ascii="Times New Roman" w:hAnsi="Times New Roman" w:eastAsia="宋体"/>
          <w:b w:val="0"/>
          <w:sz w:val="21"/>
        </w:rPr>
        <w:t>：编号 URS-&lt;域&gt;-&lt;序号&gt;，域代号与《需求规格说明书》FR 族一致（PORTAL/OPD/IPD/NUR/MT/PH/EMR/FIN/PAT/ORG/AST/TEL/CHK/RPT/SYS）。</w:t>
      </w:r>
    </w:p>
    <w:p w14:paraId="1BF86FF9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落位</w:t>
      </w:r>
      <w:r>
        <w:rPr>
          <w:rFonts w:ascii="Times New Roman" w:hAnsi="Times New Roman" w:eastAsia="宋体"/>
          <w:b w:val="0"/>
          <w:sz w:val="21"/>
        </w:rPr>
        <w:t>：该诉求被哪条/哪族 FR 承接、落在详细设计哪一章。</w:t>
      </w:r>
    </w:p>
    <w:p w14:paraId="3DCCC939">
      <w:pPr>
        <w:pStyle w:val="3"/>
        <w:keepNext/>
        <w:spacing w:before="240" w:after="120"/>
      </w:pPr>
      <w:bookmarkStart w:id="7" w:name="_Toc24567"/>
      <w:r>
        <w:rPr>
          <w:rFonts w:ascii="Times New Roman" w:hAnsi="Times New Roman" w:eastAsia="黑体"/>
          <w:b/>
          <w:color w:val="000000"/>
          <w:sz w:val="32"/>
        </w:rPr>
        <w:t>2 用户与角色总览</w:t>
      </w:r>
      <w:bookmarkEnd w:id="7"/>
    </w:p>
    <w:p w14:paraId="093B865E">
      <w:pPr>
        <w:pStyle w:val="4"/>
        <w:keepNext/>
        <w:spacing w:before="160" w:after="120"/>
      </w:pPr>
      <w:bookmarkStart w:id="8" w:name="_Toc6029"/>
      <w:r>
        <w:rPr>
          <w:rFonts w:ascii="Times New Roman" w:hAnsi="Times New Roman" w:eastAsia="黑体"/>
          <w:b/>
          <w:color w:val="000000"/>
          <w:sz w:val="27"/>
        </w:rPr>
        <w:t>2.1 干系人清单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11D38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60FAD1D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干系人</w:t>
            </w:r>
          </w:p>
        </w:tc>
        <w:tc>
          <w:tcPr>
            <w:tcW w:w="1792" w:type="dxa"/>
            <w:shd w:val="clear" w:color="auto" w:fill="E8EEF5"/>
          </w:tcPr>
          <w:p w14:paraId="193EFDB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系统触点</w:t>
            </w:r>
          </w:p>
        </w:tc>
        <w:tc>
          <w:tcPr>
            <w:tcW w:w="1792" w:type="dxa"/>
            <w:shd w:val="clear" w:color="auto" w:fill="E8EEF5"/>
          </w:tcPr>
          <w:p w14:paraId="2A4D565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主要业务域</w:t>
            </w:r>
          </w:p>
        </w:tc>
        <w:tc>
          <w:tcPr>
            <w:tcW w:w="1792" w:type="dxa"/>
            <w:shd w:val="clear" w:color="auto" w:fill="E8EEF5"/>
          </w:tcPr>
          <w:p w14:paraId="4C032FE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 族</w:t>
            </w:r>
          </w:p>
        </w:tc>
        <w:tc>
          <w:tcPr>
            <w:tcW w:w="1792" w:type="dxa"/>
            <w:shd w:val="clear" w:color="auto" w:fill="E8EEF5"/>
          </w:tcPr>
          <w:p w14:paraId="4DCD9FD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详细设计章</w:t>
            </w:r>
          </w:p>
        </w:tc>
      </w:tr>
      <w:tr w14:paraId="7528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8FFFA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院领导 / 运营部</w:t>
            </w:r>
          </w:p>
        </w:tc>
        <w:tc>
          <w:tcPr>
            <w:tcW w:w="1792" w:type="dxa"/>
          </w:tcPr>
          <w:p w14:paraId="58BECA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门户工作台、BI 驾驶舱、绩效报表</w:t>
            </w:r>
          </w:p>
        </w:tc>
        <w:tc>
          <w:tcPr>
            <w:tcW w:w="1792" w:type="dxa"/>
          </w:tcPr>
          <w:p w14:paraId="7807A0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门户、报表</w:t>
            </w:r>
          </w:p>
        </w:tc>
        <w:tc>
          <w:tcPr>
            <w:tcW w:w="1792" w:type="dxa"/>
          </w:tcPr>
          <w:p w14:paraId="2027D2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PORTAL/RPT</w:t>
            </w:r>
          </w:p>
        </w:tc>
        <w:tc>
          <w:tcPr>
            <w:tcW w:w="1792" w:type="dxa"/>
          </w:tcPr>
          <w:p w14:paraId="67DB85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6、19</w:t>
            </w:r>
          </w:p>
        </w:tc>
      </w:tr>
      <w:tr w14:paraId="3A93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21A54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前台挂号员 / 分诊导诊</w:t>
            </w:r>
          </w:p>
        </w:tc>
        <w:tc>
          <w:tcPr>
            <w:tcW w:w="1792" w:type="dxa"/>
          </w:tcPr>
          <w:p w14:paraId="102244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挂号、预约看板、叫号队列、分诊台</w:t>
            </w:r>
          </w:p>
        </w:tc>
        <w:tc>
          <w:tcPr>
            <w:tcW w:w="1792" w:type="dxa"/>
          </w:tcPr>
          <w:p w14:paraId="06AF50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</w:t>
            </w:r>
          </w:p>
        </w:tc>
        <w:tc>
          <w:tcPr>
            <w:tcW w:w="1792" w:type="dxa"/>
          </w:tcPr>
          <w:p w14:paraId="237108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OPD</w:t>
            </w:r>
          </w:p>
        </w:tc>
        <w:tc>
          <w:tcPr>
            <w:tcW w:w="1792" w:type="dxa"/>
          </w:tcPr>
          <w:p w14:paraId="3CDEA9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 w14:paraId="5F22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6DEA5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门诊医生 / 急诊医生</w:t>
            </w:r>
          </w:p>
        </w:tc>
        <w:tc>
          <w:tcPr>
            <w:tcW w:w="1792" w:type="dxa"/>
          </w:tcPr>
          <w:p w14:paraId="1406DA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医生工作站、接诊队列、急诊分档</w:t>
            </w:r>
          </w:p>
        </w:tc>
        <w:tc>
          <w:tcPr>
            <w:tcW w:w="1792" w:type="dxa"/>
          </w:tcPr>
          <w:p w14:paraId="679470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门诊、病历</w:t>
            </w:r>
          </w:p>
        </w:tc>
        <w:tc>
          <w:tcPr>
            <w:tcW w:w="1792" w:type="dxa"/>
          </w:tcPr>
          <w:p w14:paraId="7A13F4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OPD/EMR</w:t>
            </w:r>
          </w:p>
        </w:tc>
        <w:tc>
          <w:tcPr>
            <w:tcW w:w="1792" w:type="dxa"/>
          </w:tcPr>
          <w:p w14:paraId="4F9E53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7、12</w:t>
            </w:r>
          </w:p>
        </w:tc>
      </w:tr>
      <w:tr w14:paraId="0136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8B5ED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住院（管床）医生</w:t>
            </w:r>
          </w:p>
        </w:tc>
        <w:tc>
          <w:tcPr>
            <w:tcW w:w="1792" w:type="dxa"/>
          </w:tcPr>
          <w:p w14:paraId="51B4B8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住院医站、医嘱、手术/麻醉/会诊</w:t>
            </w:r>
          </w:p>
        </w:tc>
        <w:tc>
          <w:tcPr>
            <w:tcW w:w="1792" w:type="dxa"/>
          </w:tcPr>
          <w:p w14:paraId="2D1295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</w:t>
            </w:r>
          </w:p>
        </w:tc>
        <w:tc>
          <w:tcPr>
            <w:tcW w:w="1792" w:type="dxa"/>
          </w:tcPr>
          <w:p w14:paraId="45A5C3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IPD</w:t>
            </w:r>
          </w:p>
        </w:tc>
        <w:tc>
          <w:tcPr>
            <w:tcW w:w="1792" w:type="dxa"/>
          </w:tcPr>
          <w:p w14:paraId="7E7B4B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 w14:paraId="4484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793D4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病区护士 / 护士长</w:t>
            </w:r>
          </w:p>
        </w:tc>
        <w:tc>
          <w:tcPr>
            <w:tcW w:w="1792" w:type="dxa"/>
          </w:tcPr>
          <w:p w14:paraId="327B0F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护士站、执行计划、护理文书、排班</w:t>
            </w:r>
          </w:p>
        </w:tc>
        <w:tc>
          <w:tcPr>
            <w:tcW w:w="1792" w:type="dxa"/>
          </w:tcPr>
          <w:p w14:paraId="50C872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住院、护理</w:t>
            </w:r>
          </w:p>
        </w:tc>
        <w:tc>
          <w:tcPr>
            <w:tcW w:w="1792" w:type="dxa"/>
          </w:tcPr>
          <w:p w14:paraId="2162D6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IPD/NUR</w:t>
            </w:r>
          </w:p>
        </w:tc>
        <w:tc>
          <w:tcPr>
            <w:tcW w:w="1792" w:type="dxa"/>
          </w:tcPr>
          <w:p w14:paraId="2DF842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8、9</w:t>
            </w:r>
          </w:p>
        </w:tc>
      </w:tr>
      <w:tr w14:paraId="6298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06263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专项护理岗（输液室/静配/营养膳食）</w:t>
            </w:r>
          </w:p>
        </w:tc>
        <w:tc>
          <w:tcPr>
            <w:tcW w:w="1792" w:type="dxa"/>
          </w:tcPr>
          <w:p w14:paraId="6E586F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输液执行、静配流程、订餐配送</w:t>
            </w:r>
          </w:p>
        </w:tc>
        <w:tc>
          <w:tcPr>
            <w:tcW w:w="1792" w:type="dxa"/>
          </w:tcPr>
          <w:p w14:paraId="53B41F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门诊/住院专项</w:t>
            </w:r>
          </w:p>
        </w:tc>
        <w:tc>
          <w:tcPr>
            <w:tcW w:w="1792" w:type="dxa"/>
          </w:tcPr>
          <w:p w14:paraId="1DB7F0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OPD/IPD/PH</w:t>
            </w:r>
          </w:p>
        </w:tc>
        <w:tc>
          <w:tcPr>
            <w:tcW w:w="1792" w:type="dxa"/>
          </w:tcPr>
          <w:p w14:paraId="5697AB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7、8、11</w:t>
            </w:r>
          </w:p>
        </w:tc>
      </w:tr>
      <w:tr w14:paraId="308A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2FB3A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药师（窗口/审方/摆药）</w:t>
            </w:r>
          </w:p>
        </w:tc>
        <w:tc>
          <w:tcPr>
            <w:tcW w:w="1792" w:type="dxa"/>
          </w:tcPr>
          <w:p w14:paraId="369213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门诊发药、住院摆药、处方审核</w:t>
            </w:r>
          </w:p>
        </w:tc>
        <w:tc>
          <w:tcPr>
            <w:tcW w:w="1792" w:type="dxa"/>
          </w:tcPr>
          <w:p w14:paraId="4D834A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药事</w:t>
            </w:r>
          </w:p>
        </w:tc>
        <w:tc>
          <w:tcPr>
            <w:tcW w:w="1792" w:type="dxa"/>
          </w:tcPr>
          <w:p w14:paraId="70BE36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PH</w:t>
            </w:r>
          </w:p>
        </w:tc>
        <w:tc>
          <w:tcPr>
            <w:tcW w:w="1792" w:type="dxa"/>
          </w:tcPr>
          <w:p w14:paraId="6387BD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</w:tr>
      <w:tr w14:paraId="2195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C73F4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药库/采购人员</w:t>
            </w:r>
          </w:p>
        </w:tc>
        <w:tc>
          <w:tcPr>
            <w:tcW w:w="1792" w:type="dxa"/>
          </w:tcPr>
          <w:p w14:paraId="6D9022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采购订单、入库、调拨、盘点、退货</w:t>
            </w:r>
          </w:p>
        </w:tc>
        <w:tc>
          <w:tcPr>
            <w:tcW w:w="1792" w:type="dxa"/>
          </w:tcPr>
          <w:p w14:paraId="3B63E7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药事</w:t>
            </w:r>
          </w:p>
        </w:tc>
        <w:tc>
          <w:tcPr>
            <w:tcW w:w="1792" w:type="dxa"/>
          </w:tcPr>
          <w:p w14:paraId="50004E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PH</w:t>
            </w:r>
          </w:p>
        </w:tc>
        <w:tc>
          <w:tcPr>
            <w:tcW w:w="1792" w:type="dxa"/>
          </w:tcPr>
          <w:p w14:paraId="1DEFAB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</w:tr>
      <w:tr w14:paraId="1821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AD02E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临床药师 / 抗感管理专员</w:t>
            </w:r>
          </w:p>
        </w:tc>
        <w:tc>
          <w:tcPr>
            <w:tcW w:w="1792" w:type="dxa"/>
          </w:tcPr>
          <w:p w14:paraId="746A09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抗菌分级授权、处方点评、合理用药</w:t>
            </w:r>
          </w:p>
        </w:tc>
        <w:tc>
          <w:tcPr>
            <w:tcW w:w="1792" w:type="dxa"/>
          </w:tcPr>
          <w:p w14:paraId="64BD02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药事</w:t>
            </w:r>
          </w:p>
        </w:tc>
        <w:tc>
          <w:tcPr>
            <w:tcW w:w="1792" w:type="dxa"/>
          </w:tcPr>
          <w:p w14:paraId="20CAB1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PH</w:t>
            </w:r>
          </w:p>
        </w:tc>
        <w:tc>
          <w:tcPr>
            <w:tcW w:w="1792" w:type="dxa"/>
          </w:tcPr>
          <w:p w14:paraId="4E9F11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</w:tr>
      <w:tr w14:paraId="33CD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19FFC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医技人员（检验/检查/心电/病理/输血/血透）</w:t>
            </w:r>
          </w:p>
        </w:tc>
        <w:tc>
          <w:tcPr>
            <w:tcW w:w="1792" w:type="dxa"/>
          </w:tcPr>
          <w:p w14:paraId="417664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各医技工作站、预约中心、质控</w:t>
            </w:r>
          </w:p>
        </w:tc>
        <w:tc>
          <w:tcPr>
            <w:tcW w:w="1792" w:type="dxa"/>
          </w:tcPr>
          <w:p w14:paraId="319FF6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</w:t>
            </w:r>
          </w:p>
        </w:tc>
        <w:tc>
          <w:tcPr>
            <w:tcW w:w="1792" w:type="dxa"/>
          </w:tcPr>
          <w:p w14:paraId="71CDA0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MT</w:t>
            </w:r>
          </w:p>
        </w:tc>
        <w:tc>
          <w:tcPr>
            <w:tcW w:w="1792" w:type="dxa"/>
          </w:tcPr>
          <w:p w14:paraId="478A20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 w14:paraId="4B76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8A4D9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收费员 / 出纳 / 财务</w:t>
            </w:r>
          </w:p>
        </w:tc>
        <w:tc>
          <w:tcPr>
            <w:tcW w:w="1792" w:type="dxa"/>
          </w:tcPr>
          <w:p w14:paraId="79E1EA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四层收费链、班结日结、票据</w:t>
            </w:r>
          </w:p>
        </w:tc>
        <w:tc>
          <w:tcPr>
            <w:tcW w:w="1792" w:type="dxa"/>
          </w:tcPr>
          <w:p w14:paraId="2A6C66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</w:t>
            </w:r>
          </w:p>
        </w:tc>
        <w:tc>
          <w:tcPr>
            <w:tcW w:w="1792" w:type="dxa"/>
          </w:tcPr>
          <w:p w14:paraId="233BFC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FIN</w:t>
            </w:r>
          </w:p>
        </w:tc>
        <w:tc>
          <w:tcPr>
            <w:tcW w:w="1792" w:type="dxa"/>
          </w:tcPr>
          <w:p w14:paraId="0D98A2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</w:tr>
      <w:tr w14:paraId="3D5B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92E92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医保办</w:t>
            </w:r>
          </w:p>
        </w:tc>
        <w:tc>
          <w:tcPr>
            <w:tcW w:w="1792" w:type="dxa"/>
          </w:tcPr>
          <w:p w14:paraId="5FC82D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目录对照、报盘、合规审核、扣款</w:t>
            </w:r>
          </w:p>
        </w:tc>
        <w:tc>
          <w:tcPr>
            <w:tcW w:w="1792" w:type="dxa"/>
          </w:tcPr>
          <w:p w14:paraId="10A8CB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</w:t>
            </w:r>
          </w:p>
        </w:tc>
        <w:tc>
          <w:tcPr>
            <w:tcW w:w="1792" w:type="dxa"/>
          </w:tcPr>
          <w:p w14:paraId="2FD574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FIN</w:t>
            </w:r>
          </w:p>
        </w:tc>
        <w:tc>
          <w:tcPr>
            <w:tcW w:w="1792" w:type="dxa"/>
          </w:tcPr>
          <w:p w14:paraId="3D21A9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</w:tr>
      <w:tr w14:paraId="7DF14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B7CCD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病案室 / 质控科 / 院感科 / 公卫科</w:t>
            </w:r>
          </w:p>
        </w:tc>
        <w:tc>
          <w:tcPr>
            <w:tcW w:w="1792" w:type="dxa"/>
          </w:tcPr>
          <w:p w14:paraId="0FD575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病历质控、归档编目、上报</w:t>
            </w:r>
          </w:p>
        </w:tc>
        <w:tc>
          <w:tcPr>
            <w:tcW w:w="1792" w:type="dxa"/>
          </w:tcPr>
          <w:p w14:paraId="6DCA96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病历质量</w:t>
            </w:r>
          </w:p>
        </w:tc>
        <w:tc>
          <w:tcPr>
            <w:tcW w:w="1792" w:type="dxa"/>
          </w:tcPr>
          <w:p w14:paraId="56B83F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EMR</w:t>
            </w:r>
          </w:p>
        </w:tc>
        <w:tc>
          <w:tcPr>
            <w:tcW w:w="1792" w:type="dxa"/>
          </w:tcPr>
          <w:p w14:paraId="533AA6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</w:tr>
      <w:tr w14:paraId="1BAD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4DB1B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物资 / 设备科</w:t>
            </w:r>
          </w:p>
        </w:tc>
        <w:tc>
          <w:tcPr>
            <w:tcW w:w="1792" w:type="dxa"/>
          </w:tcPr>
          <w:p w14:paraId="2C49A2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耗材库存溯源、设备台账维保</w:t>
            </w:r>
          </w:p>
        </w:tc>
        <w:tc>
          <w:tcPr>
            <w:tcW w:w="1792" w:type="dxa"/>
          </w:tcPr>
          <w:p w14:paraId="0A420F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物资设备</w:t>
            </w:r>
          </w:p>
        </w:tc>
        <w:tc>
          <w:tcPr>
            <w:tcW w:w="1792" w:type="dxa"/>
          </w:tcPr>
          <w:p w14:paraId="686235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AST</w:t>
            </w:r>
          </w:p>
        </w:tc>
        <w:tc>
          <w:tcPr>
            <w:tcW w:w="1792" w:type="dxa"/>
          </w:tcPr>
          <w:p w14:paraId="6F742A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</w:tr>
      <w:tr w14:paraId="062A0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DA4AE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总值班 / 各科二线</w:t>
            </w:r>
          </w:p>
        </w:tc>
        <w:tc>
          <w:tcPr>
            <w:tcW w:w="1792" w:type="dxa"/>
          </w:tcPr>
          <w:p w14:paraId="3CA3E4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值班排班、升级催办、交接班日志</w:t>
            </w:r>
          </w:p>
        </w:tc>
        <w:tc>
          <w:tcPr>
            <w:tcW w:w="1792" w:type="dxa"/>
          </w:tcPr>
          <w:p w14:paraId="439C8F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组织资源</w:t>
            </w:r>
          </w:p>
        </w:tc>
        <w:tc>
          <w:tcPr>
            <w:tcW w:w="1792" w:type="dxa"/>
          </w:tcPr>
          <w:p w14:paraId="084E90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ORG</w:t>
            </w:r>
          </w:p>
        </w:tc>
        <w:tc>
          <w:tcPr>
            <w:tcW w:w="1792" w:type="dxa"/>
          </w:tcPr>
          <w:p w14:paraId="3D9997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</w:tr>
      <w:tr w14:paraId="585F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83F25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系统管理员 / 信息科</w:t>
            </w:r>
          </w:p>
        </w:tc>
        <w:tc>
          <w:tcPr>
            <w:tcW w:w="1792" w:type="dxa"/>
          </w:tcPr>
          <w:p w14:paraId="62334B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系统管理全域</w:t>
            </w:r>
          </w:p>
        </w:tc>
        <w:tc>
          <w:tcPr>
            <w:tcW w:w="1792" w:type="dxa"/>
          </w:tcPr>
          <w:p w14:paraId="6ECA20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w="1792" w:type="dxa"/>
          </w:tcPr>
          <w:p w14:paraId="37B72B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SYS</w:t>
            </w:r>
          </w:p>
        </w:tc>
        <w:tc>
          <w:tcPr>
            <w:tcW w:w="1792" w:type="dxa"/>
          </w:tcPr>
          <w:p w14:paraId="398008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</w:tr>
      <w:tr w14:paraId="0334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FA483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患者（小程序端）</w:t>
            </w:r>
          </w:p>
        </w:tc>
        <w:tc>
          <w:tcPr>
            <w:tcW w:w="1792" w:type="dxa"/>
          </w:tcPr>
          <w:p w14:paraId="6DC2F2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预约、缴费、报告、排队、复诊</w:t>
            </w:r>
          </w:p>
        </w:tc>
        <w:tc>
          <w:tcPr>
            <w:tcW w:w="1792" w:type="dxa"/>
          </w:tcPr>
          <w:p w14:paraId="044B3C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门户延伸</w:t>
            </w:r>
          </w:p>
        </w:tc>
        <w:tc>
          <w:tcPr>
            <w:tcW w:w="1792" w:type="dxa"/>
          </w:tcPr>
          <w:p w14:paraId="40654D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PORTAL/TEL/CHK</w:t>
            </w:r>
          </w:p>
        </w:tc>
        <w:tc>
          <w:tcPr>
            <w:tcW w:w="1792" w:type="dxa"/>
          </w:tcPr>
          <w:p w14:paraId="07361C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22、17、18</w:t>
            </w:r>
          </w:p>
        </w:tc>
      </w:tr>
    </w:tbl>
    <w:p w14:paraId="7D8D12E1">
      <w:pPr>
        <w:spacing w:after="40"/>
      </w:pPr>
    </w:p>
    <w:p w14:paraId="3D304488">
      <w:pPr>
        <w:pStyle w:val="4"/>
        <w:keepNext/>
        <w:spacing w:before="160" w:after="120"/>
      </w:pPr>
      <w:bookmarkStart w:id="9" w:name="_Toc20428"/>
      <w:r>
        <w:rPr>
          <w:rFonts w:ascii="Times New Roman" w:hAnsi="Times New Roman" w:eastAsia="黑体"/>
          <w:b/>
          <w:color w:val="000000"/>
          <w:sz w:val="27"/>
        </w:rPr>
        <w:t>2.2 身份与视角口径（用户已拍板）</w:t>
      </w:r>
      <w:bookmarkEnd w:id="9"/>
    </w:p>
    <w:p w14:paraId="207D78F5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一个人的业务身份</w:t>
      </w:r>
      <w:r>
        <w:rPr>
          <w:rFonts w:ascii="Times New Roman" w:hAnsi="Times New Roman" w:eastAsia="黑体"/>
          <w:b/>
          <w:sz w:val="21"/>
        </w:rPr>
        <w:t>只由岗位决定</w:t>
      </w:r>
      <w:r>
        <w:rPr>
          <w:rFonts w:ascii="Times New Roman" w:hAnsi="Times New Roman" w:eastAsia="宋体"/>
          <w:b w:val="0"/>
          <w:sz w:val="21"/>
        </w:rPr>
        <w:t>（角色 × 科室），登录、切岗、数据范围、按钮权限全部按"当前这一行岗位"计算；旧「切换角色」「切换科室」双入口已废弃（URS-ORG 组，FR-ORG-05/06、详细设计 15/20 章）。</w:t>
      </w:r>
    </w:p>
    <w:p w14:paraId="1374FBC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侧栏菜单顺序全站统一口径：</w:t>
      </w:r>
      <w:r>
        <w:rPr>
          <w:rFonts w:ascii="Times New Roman" w:hAnsi="Times New Roman" w:eastAsia="黑体"/>
          <w:b/>
          <w:sz w:val="21"/>
        </w:rPr>
        <w:t>一级按患者流转主线，二级三段式（作业 → 专项/监测 → 基础配置）</w:t>
      </w:r>
      <w:r>
        <w:rPr>
          <w:rFonts w:ascii="Times New Roman" w:hAnsi="Times New Roman" w:eastAsia="宋体"/>
          <w:b w:val="0"/>
          <w:sz w:val="21"/>
        </w:rPr>
        <w:t>；一线高频窗口（如收费结算）不得被低频配置项压到底部（sql/196，2026-09-29 用户批准）。</w:t>
      </w:r>
    </w:p>
    <w:p w14:paraId="6506CE93">
      <w:pPr>
        <w:pStyle w:val="3"/>
        <w:keepNext/>
        <w:spacing w:before="240" w:after="120"/>
      </w:pPr>
      <w:bookmarkStart w:id="10" w:name="_Toc32056"/>
      <w:r>
        <w:rPr>
          <w:rFonts w:ascii="Times New Roman" w:hAnsi="Times New Roman" w:eastAsia="黑体"/>
          <w:b/>
          <w:color w:val="000000"/>
          <w:sz w:val="32"/>
        </w:rPr>
        <w:t>3 分角色真实诉求</w:t>
      </w:r>
      <w:bookmarkEnd w:id="10"/>
    </w:p>
    <w:p w14:paraId="45F6F823">
      <w:pPr>
        <w:pStyle w:val="4"/>
        <w:keepNext/>
        <w:spacing w:before="160" w:after="120"/>
      </w:pPr>
      <w:bookmarkStart w:id="11" w:name="_Toc22767"/>
      <w:r>
        <w:rPr>
          <w:rFonts w:ascii="Times New Roman" w:hAnsi="Times New Roman" w:eastAsia="黑体"/>
          <w:b/>
          <w:color w:val="000000"/>
          <w:sz w:val="27"/>
        </w:rPr>
        <w:t>3.1 院领导与运营管理人员（门户工作台、报表）</w:t>
      </w:r>
      <w:bookmarkEnd w:id="11"/>
    </w:p>
    <w:p w14:paraId="6BF68AD7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：不办具体业务，只看全局态势、待办分布与经营指标；入口是角色化工作台与 BI 驾驶舱。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37B6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2F094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6EF179C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741C576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7D00F03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0833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6184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URS-PORTAL-01</w:t>
            </w:r>
          </w:p>
        </w:tc>
        <w:tc>
          <w:tcPr>
            <w:tcW w:w="2239" w:type="dxa"/>
          </w:tcPr>
          <w:p w14:paraId="5CB4AB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打开系统第一屏就能看到"今天全院发生了什么"：待办、消息、今日概况、七日到诊趋势，按角色配置卡片，个人可再调整自己的布局</w:t>
            </w:r>
          </w:p>
        </w:tc>
        <w:tc>
          <w:tcPr>
            <w:tcW w:w="2239" w:type="dxa"/>
          </w:tcPr>
          <w:p w14:paraId="14BBB9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E156C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FR-PORTAL-01/02/04，详设 6 章</w:t>
            </w:r>
          </w:p>
        </w:tc>
      </w:tr>
      <w:tr w14:paraId="027B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3AD8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URS-PORTAL-02</w:t>
            </w:r>
          </w:p>
        </w:tc>
        <w:tc>
          <w:tcPr>
            <w:tcW w:w="2239" w:type="dxa"/>
          </w:tcPr>
          <w:p w14:paraId="298DB6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一张卡片取数失败不许拖垮整个工作台——宁可一个格子显示占位符</w:t>
            </w:r>
          </w:p>
        </w:tc>
        <w:tc>
          <w:tcPr>
            <w:tcW w:w="2239" w:type="dxa"/>
          </w:tcPr>
          <w:p w14:paraId="3EB13B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BC6B0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FR-PORTAL-03</w:t>
            </w:r>
          </w:p>
        </w:tc>
      </w:tr>
      <w:tr w14:paraId="4DF3A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E6A9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URS-PORTAL-03</w:t>
            </w:r>
          </w:p>
        </w:tc>
        <w:tc>
          <w:tcPr>
            <w:tcW w:w="2239" w:type="dxa"/>
          </w:tcPr>
          <w:p w14:paraId="143B31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站内消息要实时到达（登录后服务端推送通道 + 心跳），不等刷页面</w:t>
            </w:r>
          </w:p>
        </w:tc>
        <w:tc>
          <w:tcPr>
            <w:tcW w:w="2239" w:type="dxa"/>
          </w:tcPr>
          <w:p w14:paraId="669CD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5F5DE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FR-PORTAL-06</w:t>
            </w:r>
          </w:p>
        </w:tc>
      </w:tr>
      <w:tr w14:paraId="5CFD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660E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URS-PORTAL-04</w:t>
            </w:r>
          </w:p>
        </w:tc>
        <w:tc>
          <w:tcPr>
            <w:tcW w:w="2239" w:type="dxa"/>
          </w:tcPr>
          <w:p w14:paraId="0891BD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待办点进去就是处理页，处理完自动消失；"已办仍挂账"不可接受</w:t>
            </w:r>
          </w:p>
        </w:tc>
        <w:tc>
          <w:tcPr>
            <w:tcW w:w="2239" w:type="dxa"/>
          </w:tcPr>
          <w:p w14:paraId="0072FD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19E03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FR-PORTAL-07</w:t>
            </w:r>
          </w:p>
        </w:tc>
      </w:tr>
      <w:tr w14:paraId="14B7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7BB0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URS-RPT-01</w:t>
            </w:r>
          </w:p>
        </w:tc>
        <w:tc>
          <w:tcPr>
            <w:tcW w:w="2239" w:type="dxa"/>
          </w:tcPr>
          <w:p w14:paraId="6F2E5F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挂号人次（不含复诊）与就诊人次（含复诊）必须能分开统计，口径来自事实表聚合，不许由状态列反推</w:t>
            </w:r>
          </w:p>
        </w:tc>
        <w:tc>
          <w:tcPr>
            <w:tcW w:w="2239" w:type="dxa"/>
          </w:tcPr>
          <w:p w14:paraId="5DFED9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3C2BF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FR-RPT-01/02，详设 19 章</w:t>
            </w:r>
          </w:p>
        </w:tc>
      </w:tr>
      <w:tr w14:paraId="7226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4398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URS-RPT-02</w:t>
            </w:r>
          </w:p>
        </w:tc>
        <w:tc>
          <w:tcPr>
            <w:tcW w:w="2239" w:type="dxa"/>
          </w:tcPr>
          <w:p w14:paraId="327CC5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驾驶舱一次请求返回全量数据，不接受多请求拼装导致"半屏新半屏旧"</w:t>
            </w:r>
          </w:p>
        </w:tc>
        <w:tc>
          <w:tcPr>
            <w:tcW w:w="2239" w:type="dxa"/>
          </w:tcPr>
          <w:p w14:paraId="60B297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78B957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FR-RPT-03</w:t>
            </w:r>
          </w:p>
        </w:tc>
      </w:tr>
      <w:tr w14:paraId="66993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5FD8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URS-RPT-03</w:t>
            </w:r>
          </w:p>
        </w:tc>
        <w:tc>
          <w:tcPr>
            <w:tcW w:w="2239" w:type="dxa"/>
          </w:tcPr>
          <w:p w14:paraId="113436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药占比、耗占比、床位周转、CMI 等绩效成本指标可核算、可按科室月度出</w:t>
            </w:r>
          </w:p>
        </w:tc>
        <w:tc>
          <w:tcPr>
            <w:tcW w:w="2239" w:type="dxa"/>
          </w:tcPr>
          <w:p w14:paraId="795E29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6B7D4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FR-RPT-04</w:t>
            </w:r>
          </w:p>
        </w:tc>
      </w:tr>
      <w:tr w14:paraId="7B59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FCA9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URS-RPT-04</w:t>
            </w:r>
          </w:p>
        </w:tc>
        <w:tc>
          <w:tcPr>
            <w:tcW w:w="2239" w:type="dxa"/>
          </w:tcPr>
          <w:p w14:paraId="256F0A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病案统计按卫统风格报文落库留痕、防同期重复上报</w:t>
            </w:r>
          </w:p>
        </w:tc>
        <w:tc>
          <w:tcPr>
            <w:tcW w:w="2239" w:type="dxa"/>
          </w:tcPr>
          <w:p w14:paraId="18CFAD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4AB98A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FR-RPT-05</w:t>
            </w:r>
          </w:p>
        </w:tc>
      </w:tr>
    </w:tbl>
    <w:p w14:paraId="6F32A687">
      <w:pPr>
        <w:spacing w:after="40"/>
      </w:pPr>
    </w:p>
    <w:p w14:paraId="058E0C95">
      <w:r>
        <w:rPr>
          <w:rFonts w:ascii="Times New Roman" w:hAnsi="Times New Roman" w:eastAsia="黑体"/>
          <w:b/>
          <w:sz w:val="21"/>
        </w:rPr>
        <w:t>原始诉求摘录</w:t>
      </w:r>
      <w:r>
        <w:rPr>
          <w:rFonts w:ascii="Times New Roman" w:hAnsi="Times New Roman" w:eastAsia="宋体"/>
          <w:b w:val="0"/>
          <w:sz w:val="21"/>
        </w:rPr>
        <w:t>：「待办与消息里的患者敏感字段必须按脱敏口径输出，工作台是会被旁人看到的」（FR-PORTAL-08）。</w:t>
      </w:r>
    </w:p>
    <w:p w14:paraId="78010BC4">
      <w:pPr>
        <w:pStyle w:val="4"/>
        <w:keepNext/>
        <w:spacing w:before="160" w:after="120"/>
      </w:pPr>
      <w:bookmarkStart w:id="12" w:name="_Toc9863"/>
      <w:r>
        <w:rPr>
          <w:rFonts w:ascii="Times New Roman" w:hAnsi="Times New Roman" w:eastAsia="黑体"/>
          <w:b/>
          <w:color w:val="000000"/>
          <w:sz w:val="27"/>
        </w:rPr>
        <w:t>3.2 前台挂号员与分诊导诊</w:t>
      </w:r>
      <w:bookmarkEnd w:id="12"/>
    </w:p>
    <w:p w14:paraId="24EB939D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：全院流量入口，动作以秒计、以队列为中心；最怕"号放出去退不掉、停诊没人管、看板数不出来"。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686D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6F3C3E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3447C59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4D6D6A3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4B96667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3F0C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0AFB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URS-OPD-01</w:t>
            </w:r>
          </w:p>
        </w:tc>
        <w:tc>
          <w:tcPr>
            <w:tcW w:w="2239" w:type="dxa"/>
          </w:tcPr>
          <w:p w14:paraId="47FC64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今日预约、已到、待诊、过号、退号、停诊六格分布一眼可见</w:t>
            </w:r>
          </w:p>
        </w:tc>
        <w:tc>
          <w:tcPr>
            <w:tcW w:w="2239" w:type="dxa"/>
          </w:tcPr>
          <w:p w14:paraId="26CB2D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810D1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FR-OPD-06，详设 7 章</w:t>
            </w:r>
          </w:p>
        </w:tc>
      </w:tr>
      <w:tr w14:paraId="4A4F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CCC3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URS-OPD-02</w:t>
            </w:r>
          </w:p>
        </w:tc>
        <w:tc>
          <w:tcPr>
            <w:tcW w:w="2239" w:type="dxa"/>
          </w:tcPr>
          <w:p w14:paraId="20E67D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停诊必须列出受影响患者名单并支持批量退号，</w:t>
            </w:r>
            <w:r>
              <w:rPr>
                <w:rFonts w:ascii="Times New Roman" w:hAnsi="Times New Roman" w:eastAsia="黑体"/>
                <w:b/>
                <w:sz w:val="18"/>
              </w:rPr>
              <w:t>不允许静默停诊</w:t>
            </w:r>
          </w:p>
        </w:tc>
        <w:tc>
          <w:tcPr>
            <w:tcW w:w="2239" w:type="dxa"/>
          </w:tcPr>
          <w:p w14:paraId="4BABDC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6F7A5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FR-OPD-02</w:t>
            </w:r>
          </w:p>
        </w:tc>
      </w:tr>
      <w:tr w14:paraId="6AF5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DF01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URS-OPD-03</w:t>
            </w:r>
          </w:p>
        </w:tc>
        <w:tc>
          <w:tcPr>
            <w:tcW w:w="2239" w:type="dxa"/>
          </w:tcPr>
          <w:p w14:paraId="47572B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退号要先过下游校验（已接诊/已收费/已发药的号不能直接退），系统拦住而不是让前台背锅</w:t>
            </w:r>
          </w:p>
        </w:tc>
        <w:tc>
          <w:tcPr>
            <w:tcW w:w="2239" w:type="dxa"/>
          </w:tcPr>
          <w:p w14:paraId="5678A9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36ACF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FR-OPD-07</w:t>
            </w:r>
          </w:p>
        </w:tc>
      </w:tr>
      <w:tr w14:paraId="4BEE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EB1E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URS-OPD-04</w:t>
            </w:r>
          </w:p>
        </w:tc>
        <w:tc>
          <w:tcPr>
            <w:tcW w:w="2239" w:type="dxa"/>
          </w:tcPr>
          <w:p w14:paraId="17B002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复诊能否收挂号费/诊查费由全院统一策略配置，收费前可预估，改一次全院生效</w:t>
            </w:r>
          </w:p>
        </w:tc>
        <w:tc>
          <w:tcPr>
            <w:tcW w:w="2239" w:type="dxa"/>
          </w:tcPr>
          <w:p w14:paraId="723EB6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9FC3E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FR-OPD-05</w:t>
            </w:r>
          </w:p>
        </w:tc>
      </w:tr>
      <w:tr w14:paraId="65EEF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E780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URS-OPD-05</w:t>
            </w:r>
          </w:p>
        </w:tc>
        <w:tc>
          <w:tcPr>
            <w:tcW w:w="2239" w:type="dxa"/>
          </w:tcPr>
          <w:p w14:paraId="483534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叫号操作（签到/叫下一位/重呼/过号/复诊插队）每一步留时间线；医生三态（空闲/接诊中/暂离）实时可见再决定派号</w:t>
            </w:r>
          </w:p>
        </w:tc>
        <w:tc>
          <w:tcPr>
            <w:tcW w:w="2239" w:type="dxa"/>
          </w:tcPr>
          <w:p w14:paraId="5564C5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1CBCB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FR-OPD-11/12</w:t>
            </w:r>
          </w:p>
        </w:tc>
      </w:tr>
      <w:tr w14:paraId="65171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F7BF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URS-OPD-06</w:t>
            </w:r>
          </w:p>
        </w:tc>
        <w:tc>
          <w:tcPr>
            <w:tcW w:w="2239" w:type="dxa"/>
          </w:tcPr>
          <w:p w14:paraId="68AFEC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主动疏导要有名单：超时复诊等候名单、已缴费未签到名单</w:t>
            </w:r>
          </w:p>
        </w:tc>
        <w:tc>
          <w:tcPr>
            <w:tcW w:w="2239" w:type="dxa"/>
          </w:tcPr>
          <w:p w14:paraId="7CFBBA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7C0E06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FR-OPD-14</w:t>
            </w:r>
          </w:p>
        </w:tc>
      </w:tr>
      <w:tr w14:paraId="7942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8629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URS-OPD-07</w:t>
            </w:r>
          </w:p>
        </w:tc>
        <w:tc>
          <w:tcPr>
            <w:tcW w:w="2239" w:type="dxa"/>
          </w:tcPr>
          <w:p w14:paraId="2DBC21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患者缴费前就能查到医保费用预估</w:t>
            </w:r>
          </w:p>
        </w:tc>
        <w:tc>
          <w:tcPr>
            <w:tcW w:w="2239" w:type="dxa"/>
          </w:tcPr>
          <w:p w14:paraId="450393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0F8B92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FR-OPD-15</w:t>
            </w:r>
          </w:p>
        </w:tc>
      </w:tr>
      <w:tr w14:paraId="263E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129E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URS-OPD-08</w:t>
            </w:r>
          </w:p>
        </w:tc>
        <w:tc>
          <w:tcPr>
            <w:tcW w:w="2239" w:type="dxa"/>
          </w:tcPr>
          <w:p w14:paraId="668524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号源日终结转不管哪条触发路径都不许产生重复数据（懒触发/定时/手工补跑可重入）</w:t>
            </w:r>
          </w:p>
        </w:tc>
        <w:tc>
          <w:tcPr>
            <w:tcW w:w="2239" w:type="dxa"/>
          </w:tcPr>
          <w:p w14:paraId="0278DD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7421D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FR-OPD-08</w:t>
            </w:r>
          </w:p>
        </w:tc>
      </w:tr>
    </w:tbl>
    <w:p w14:paraId="6EC0FD24">
      <w:pPr>
        <w:spacing w:after="40"/>
      </w:pPr>
    </w:p>
    <w:p w14:paraId="63D7EEA1">
      <w:pPr>
        <w:pStyle w:val="4"/>
        <w:keepNext/>
        <w:spacing w:before="160" w:after="120"/>
      </w:pPr>
      <w:bookmarkStart w:id="13" w:name="_Toc13686"/>
      <w:r>
        <w:rPr>
          <w:rFonts w:ascii="Times New Roman" w:hAnsi="Times New Roman" w:eastAsia="黑体"/>
          <w:b/>
          <w:color w:val="000000"/>
          <w:sz w:val="27"/>
        </w:rPr>
        <w:t>3.3 门诊医生与急诊医生</w:t>
      </w:r>
      <w:bookmarkEnd w:id="13"/>
    </w:p>
    <w:p w14:paraId="4B6822BB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：以"当前患者队列"为中心工作；时间最贵，最反感切页面、填冗余、被假数据误导。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475F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166AFB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1800E55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6B060AC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1AB0681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643E6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39" w:type="dxa"/>
          </w:tcPr>
          <w:p w14:paraId="6395CA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URS-OPD-11</w:t>
            </w:r>
          </w:p>
        </w:tc>
        <w:tc>
          <w:tcPr>
            <w:tcW w:w="2239" w:type="dxa"/>
          </w:tcPr>
          <w:p w14:paraId="708B03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工作站页面撑满视口、左侧候诊队列右侧病历医嘱、内部滚动，不许整页滚</w:t>
            </w:r>
          </w:p>
        </w:tc>
        <w:tc>
          <w:tcPr>
            <w:tcW w:w="2239" w:type="dxa"/>
          </w:tcPr>
          <w:p w14:paraId="71538D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72558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FR-OPD-21，详设 7 章</w:t>
            </w:r>
          </w:p>
        </w:tc>
      </w:tr>
      <w:tr w14:paraId="2AE3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40F2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URS-OPD-12</w:t>
            </w:r>
          </w:p>
        </w:tc>
        <w:tc>
          <w:tcPr>
            <w:tcW w:w="2239" w:type="dxa"/>
          </w:tcPr>
          <w:p w14:paraId="3DB2B1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病历分区结构化书写，诊断从 ICD-10 选不是自由文本；临时保存与结诊分开，结诊必填诊断</w:t>
            </w:r>
          </w:p>
        </w:tc>
        <w:tc>
          <w:tcPr>
            <w:tcW w:w="2239" w:type="dxa"/>
          </w:tcPr>
          <w:p w14:paraId="39470C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55825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FR-OPD-22、FR-EMR-01/02</w:t>
            </w:r>
          </w:p>
        </w:tc>
      </w:tr>
      <w:tr w14:paraId="4FCB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57C1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URS-OPD-13</w:t>
            </w:r>
          </w:p>
        </w:tc>
        <w:tc>
          <w:tcPr>
            <w:tcW w:w="2239" w:type="dxa"/>
          </w:tcPr>
          <w:p w14:paraId="2E2D0C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个人模板（诊断/处方/药品套餐/申请单模板）只本人可见可复用</w:t>
            </w:r>
          </w:p>
        </w:tc>
        <w:tc>
          <w:tcPr>
            <w:tcW w:w="2239" w:type="dxa"/>
          </w:tcPr>
          <w:p w14:paraId="386FBD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073CB6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FR-OPD-25</w:t>
            </w:r>
          </w:p>
        </w:tc>
      </w:tr>
      <w:tr w14:paraId="0638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5282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URS-OPD-14</w:t>
            </w:r>
          </w:p>
        </w:tc>
        <w:tc>
          <w:tcPr>
            <w:tcW w:w="2239" w:type="dxa"/>
          </w:tcPr>
          <w:p w14:paraId="5341FB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开方时合理用药校验与抗菌药越权自检的结果要给我看、给我建议，但改不改由我决定</w:t>
            </w:r>
          </w:p>
        </w:tc>
        <w:tc>
          <w:tcPr>
            <w:tcW w:w="2239" w:type="dxa"/>
          </w:tcPr>
          <w:p w14:paraId="3EA929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B9C1E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FR-OPD-26、FR-PH-41</w:t>
            </w:r>
          </w:p>
        </w:tc>
      </w:tr>
      <w:tr w14:paraId="75E88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AE58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URS-OPD-15</w:t>
            </w:r>
          </w:p>
        </w:tc>
        <w:tc>
          <w:tcPr>
            <w:tcW w:w="2239" w:type="dxa"/>
          </w:tcPr>
          <w:p w14:paraId="312CEB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检查/检验申请单开单即落库；删除受三重保护（已缴费/已执行/已产生收费记录禁删）</w:t>
            </w:r>
          </w:p>
        </w:tc>
        <w:tc>
          <w:tcPr>
            <w:tcW w:w="2239" w:type="dxa"/>
          </w:tcPr>
          <w:p w14:paraId="366A97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158AB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FR-OPD-24</w:t>
            </w:r>
          </w:p>
        </w:tc>
      </w:tr>
      <w:tr w14:paraId="74AA3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093A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URS-OPD-16</w:t>
            </w:r>
          </w:p>
        </w:tc>
        <w:tc>
          <w:tcPr>
            <w:tcW w:w="2239" w:type="dxa"/>
          </w:tcPr>
          <w:p w14:paraId="2357E1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危急值在工作站显著提示并可一键跳到处理页</w:t>
            </w:r>
          </w:p>
        </w:tc>
        <w:tc>
          <w:tcPr>
            <w:tcW w:w="2239" w:type="dxa"/>
          </w:tcPr>
          <w:p w14:paraId="7AA316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05284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FR-OPD-27、FR-MT-05</w:t>
            </w:r>
          </w:p>
        </w:tc>
      </w:tr>
      <w:tr w14:paraId="55E7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6DD8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URS-OPD-17</w:t>
            </w:r>
          </w:p>
        </w:tc>
        <w:tc>
          <w:tcPr>
            <w:tcW w:w="2239" w:type="dxa"/>
          </w:tcPr>
          <w:p w14:paraId="6F5C1A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处方进审方闸门：未过审方不允许发药，但审核超时/失败一律放行留痕，不许阻塞我开方</w:t>
            </w:r>
          </w:p>
        </w:tc>
        <w:tc>
          <w:tcPr>
            <w:tcW w:w="2239" w:type="dxa"/>
          </w:tcPr>
          <w:p w14:paraId="412B1C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8DE5F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FR-OPD-23、FR-PH-28</w:t>
            </w:r>
          </w:p>
        </w:tc>
      </w:tr>
      <w:tr w14:paraId="6DD7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CAAF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URS-OPD-21</w:t>
            </w:r>
          </w:p>
        </w:tc>
        <w:tc>
          <w:tcPr>
            <w:tcW w:w="2239" w:type="dxa"/>
          </w:tcPr>
          <w:p w14:paraId="6531C6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急诊按分级与候诊时长自动分档，超时升级并催办——同一事件对同一人只催一次</w:t>
            </w:r>
          </w:p>
        </w:tc>
        <w:tc>
          <w:tcPr>
            <w:tcW w:w="2239" w:type="dxa"/>
          </w:tcPr>
          <w:p w14:paraId="285CCB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4457B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FR-OPD-31</w:t>
            </w:r>
          </w:p>
        </w:tc>
      </w:tr>
      <w:tr w14:paraId="74C9A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53B1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URS-OPD-22</w:t>
            </w:r>
          </w:p>
        </w:tc>
        <w:tc>
          <w:tcPr>
            <w:tcW w:w="2239" w:type="dxa"/>
          </w:tcPr>
          <w:p w14:paraId="305803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急诊转住院自动带出病区、床位与在岗值班医生候选，不让我背号码</w:t>
            </w:r>
          </w:p>
        </w:tc>
        <w:tc>
          <w:tcPr>
            <w:tcW w:w="2239" w:type="dxa"/>
          </w:tcPr>
          <w:p w14:paraId="1745C9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1773FB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FR-OPD-32</w:t>
            </w:r>
          </w:p>
        </w:tc>
      </w:tr>
      <w:tr w14:paraId="142B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DCCD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URS-OPD-23</w:t>
            </w:r>
          </w:p>
        </w:tc>
        <w:tc>
          <w:tcPr>
            <w:tcW w:w="2239" w:type="dxa"/>
          </w:tcPr>
          <w:p w14:paraId="2159C0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交接班逐条点名：有未确认患者就拒绝提交，宁可麻烦不许漏</w:t>
            </w:r>
          </w:p>
        </w:tc>
        <w:tc>
          <w:tcPr>
            <w:tcW w:w="2239" w:type="dxa"/>
          </w:tcPr>
          <w:p w14:paraId="5CC203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7E493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FR-OPD-33</w:t>
            </w:r>
          </w:p>
        </w:tc>
      </w:tr>
      <w:tr w14:paraId="1D80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1049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URS-OPD-24</w:t>
            </w:r>
          </w:p>
        </w:tc>
        <w:tc>
          <w:tcPr>
            <w:tcW w:w="2239" w:type="dxa"/>
          </w:tcPr>
          <w:p w14:paraId="49CB34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门诊日志是法定台账：只读、可导出，与医生站接诊队列分开统计、互不覆盖</w:t>
            </w:r>
          </w:p>
        </w:tc>
        <w:tc>
          <w:tcPr>
            <w:tcW w:w="2239" w:type="dxa"/>
          </w:tcPr>
          <w:p w14:paraId="12305A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88DD6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FR-OPD-37、FR-EMR-38</w:t>
            </w:r>
          </w:p>
        </w:tc>
      </w:tr>
    </w:tbl>
    <w:p w14:paraId="25C10B0E">
      <w:pPr>
        <w:spacing w:after="40"/>
      </w:pPr>
    </w:p>
    <w:p w14:paraId="5ABCCC31">
      <w:pPr>
        <w:pStyle w:val="4"/>
        <w:keepNext/>
        <w:spacing w:before="160" w:after="120"/>
      </w:pPr>
      <w:bookmarkStart w:id="14" w:name="_Toc5045"/>
      <w:r>
        <w:rPr>
          <w:rFonts w:ascii="Times New Roman" w:hAnsi="Times New Roman" w:eastAsia="黑体"/>
          <w:b/>
          <w:color w:val="000000"/>
          <w:sz w:val="27"/>
        </w:rPr>
        <w:t>3.4 住院（管床）医生</w:t>
      </w:r>
      <w:bookmarkEnd w:id="14"/>
    </w:p>
    <w:p w14:paraId="21D63679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：对一张床位上的整个住院过程负责——医嘱、手术、输血、病情变化、出院。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0066D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954CDA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12DA5EE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522FDB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3B3C5B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6F88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516E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URS-IPD-01</w:t>
            </w:r>
          </w:p>
        </w:tc>
        <w:tc>
          <w:tcPr>
            <w:tcW w:w="2239" w:type="dxa"/>
          </w:tcPr>
          <w:p w14:paraId="500AE8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医嘱生命周期闭环，停/作废长医嘱必须同步撤销派生的执行与记账计划——</w:t>
            </w:r>
            <w:r>
              <w:rPr>
                <w:rFonts w:ascii="Times New Roman" w:hAnsi="Times New Roman" w:eastAsia="黑体"/>
                <w:b/>
                <w:sz w:val="18"/>
              </w:rPr>
              <w:t>"人已停、费还在走"是最恶性的事故</w:t>
            </w:r>
          </w:p>
        </w:tc>
        <w:tc>
          <w:tcPr>
            <w:tcW w:w="2239" w:type="dxa"/>
          </w:tcPr>
          <w:p w14:paraId="754DB6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486BA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FR-IPD-15，详设 8 章</w:t>
            </w:r>
          </w:p>
        </w:tc>
      </w:tr>
      <w:tr w14:paraId="0475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CA59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URS-IPD-02</w:t>
            </w:r>
          </w:p>
        </w:tc>
        <w:tc>
          <w:tcPr>
            <w:tcW w:w="2239" w:type="dxa"/>
          </w:tcPr>
          <w:p w14:paraId="00A27E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医嘱组套支持个人/科室/全院三级共享，套用的组套要能单条删除</w:t>
            </w:r>
          </w:p>
        </w:tc>
        <w:tc>
          <w:tcPr>
            <w:tcW w:w="2239" w:type="dxa"/>
          </w:tcPr>
          <w:p w14:paraId="32314D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49EB69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FR-IPD-14</w:t>
            </w:r>
          </w:p>
        </w:tc>
      </w:tr>
      <w:tr w14:paraId="50C3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6F3C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URS-IPD-03</w:t>
            </w:r>
          </w:p>
        </w:tc>
        <w:tc>
          <w:tcPr>
            <w:tcW w:w="2239" w:type="dxa"/>
          </w:tcPr>
          <w:p w14:paraId="4B2EFE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转科是一个原子动作：停原科室未执行医嘱、切科室与床位、回写病案首页转出信息同事务完成</w:t>
            </w:r>
          </w:p>
        </w:tc>
        <w:tc>
          <w:tcPr>
            <w:tcW w:w="2239" w:type="dxa"/>
          </w:tcPr>
          <w:p w14:paraId="6EEF3D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62DFF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FR-IPD-03</w:t>
            </w:r>
          </w:p>
        </w:tc>
      </w:tr>
      <w:tr w14:paraId="0B93B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553C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URS-IPD-04</w:t>
            </w:r>
          </w:p>
        </w:tc>
        <w:tc>
          <w:tcPr>
            <w:tcW w:w="2239" w:type="dxa"/>
          </w:tcPr>
          <w:p w14:paraId="086A85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换床与转科必须是两个入口两套校验（换床不动医嘱归属），不许合并</w:t>
            </w:r>
          </w:p>
        </w:tc>
        <w:tc>
          <w:tcPr>
            <w:tcW w:w="2239" w:type="dxa"/>
          </w:tcPr>
          <w:p w14:paraId="2471B8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1AB55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FR-IPD-04</w:t>
            </w:r>
          </w:p>
        </w:tc>
      </w:tr>
      <w:tr w14:paraId="14FE5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27CD5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URS-IPD-05</w:t>
            </w:r>
          </w:p>
        </w:tc>
        <w:tc>
          <w:tcPr>
            <w:tcW w:w="2239" w:type="dxa"/>
          </w:tcPr>
          <w:p w14:paraId="758AAD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欠费提示要有，但</w:t>
            </w:r>
            <w:r>
              <w:rPr>
                <w:rFonts w:ascii="Times New Roman" w:hAnsi="Times New Roman" w:eastAsia="黑体"/>
                <w:b/>
                <w:sz w:val="18"/>
              </w:rPr>
              <w:t>不阻断诊疗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；药品、手术、急救永不拦截</w:t>
            </w:r>
          </w:p>
        </w:tc>
        <w:tc>
          <w:tcPr>
            <w:tcW w:w="2239" w:type="dxa"/>
          </w:tcPr>
          <w:p w14:paraId="5170BC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15EE7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FR-IPD-05、FR-FIN-23</w:t>
            </w:r>
          </w:p>
        </w:tc>
      </w:tr>
      <w:tr w14:paraId="6B1E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0888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URS-IPD-06</w:t>
            </w:r>
          </w:p>
        </w:tc>
        <w:tc>
          <w:tcPr>
            <w:tcW w:w="2239" w:type="dxa"/>
          </w:tcPr>
          <w:p w14:paraId="09B1E5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请假离院：护士登记、我批准即电子签名存证，医嘱暂停/恢复有记录</w:t>
            </w:r>
          </w:p>
        </w:tc>
        <w:tc>
          <w:tcPr>
            <w:tcW w:w="2239" w:type="dxa"/>
          </w:tcPr>
          <w:p w14:paraId="3F6C20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3CB26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FR-IPD-06</w:t>
            </w:r>
          </w:p>
        </w:tc>
      </w:tr>
      <w:tr w14:paraId="761CE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DF45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URS-IPD-07</w:t>
            </w:r>
          </w:p>
        </w:tc>
        <w:tc>
          <w:tcPr>
            <w:tcW w:w="2239" w:type="dxa"/>
          </w:tcPr>
          <w:p w14:paraId="02F902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病危/病重通知签发、签收、作废与告知书回执打印成套</w:t>
            </w:r>
          </w:p>
        </w:tc>
        <w:tc>
          <w:tcPr>
            <w:tcW w:w="2239" w:type="dxa"/>
          </w:tcPr>
          <w:p w14:paraId="45FC2C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5772D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FR-IPD-37</w:t>
            </w:r>
          </w:p>
        </w:tc>
      </w:tr>
      <w:tr w14:paraId="078E5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2317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URS-IPD-08</w:t>
            </w:r>
          </w:p>
        </w:tc>
        <w:tc>
          <w:tcPr>
            <w:tcW w:w="2239" w:type="dxa"/>
          </w:tcPr>
          <w:p w14:paraId="5AD39A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出院后随访任务由出院结算自动派生；列表里手机号只出脱敏值</w:t>
            </w:r>
          </w:p>
        </w:tc>
        <w:tc>
          <w:tcPr>
            <w:tcW w:w="2239" w:type="dxa"/>
          </w:tcPr>
          <w:p w14:paraId="5ECF84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5E1AD3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FR-IPD-40</w:t>
            </w:r>
          </w:p>
        </w:tc>
      </w:tr>
      <w:tr w14:paraId="2FCC4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1AD5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URS-IPD-09</w:t>
            </w:r>
          </w:p>
        </w:tc>
        <w:tc>
          <w:tcPr>
            <w:tcW w:w="2239" w:type="dxa"/>
          </w:tcPr>
          <w:p w14:paraId="1DF9DC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死亡证明上报留痕，超期未上报有催办（定时 + 手工补跑）</w:t>
            </w:r>
          </w:p>
        </w:tc>
        <w:tc>
          <w:tcPr>
            <w:tcW w:w="2239" w:type="dxa"/>
          </w:tcPr>
          <w:p w14:paraId="34EE9D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ACEEC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FR-IPD-38</w:t>
            </w:r>
          </w:p>
        </w:tc>
      </w:tr>
    </w:tbl>
    <w:p w14:paraId="50031DDD">
      <w:pPr>
        <w:spacing w:after="40"/>
      </w:pPr>
    </w:p>
    <w:p w14:paraId="4FBF01FE">
      <w:pPr>
        <w:pStyle w:val="4"/>
        <w:keepNext/>
        <w:spacing w:before="160" w:after="120"/>
      </w:pPr>
      <w:bookmarkStart w:id="15" w:name="_Toc16708"/>
      <w:r>
        <w:rPr>
          <w:rFonts w:ascii="Times New Roman" w:hAnsi="Times New Roman" w:eastAsia="黑体"/>
          <w:b/>
          <w:color w:val="000000"/>
          <w:sz w:val="27"/>
        </w:rPr>
        <w:t>3.5 病区护士与护士长</w:t>
      </w:r>
      <w:bookmarkEnd w:id="15"/>
    </w:p>
    <w:p w14:paraId="037D9293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：执行计划的最终落点，一切"医生开了的"要变成"我做了并记下了"；排班、质控归护士长。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49A7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51A5D8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35990E8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2F3E78D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4C13126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23FA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E281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URS-NUR-01</w:t>
            </w:r>
          </w:p>
        </w:tc>
        <w:tc>
          <w:tcPr>
            <w:tcW w:w="2239" w:type="dxa"/>
          </w:tcPr>
          <w:p w14:paraId="1A6B4B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查询"待执行"时由服务端按当前有效医嘱幂等补齐当天计划行，不引入定时任务也不许漏行</w:t>
            </w:r>
          </w:p>
        </w:tc>
        <w:tc>
          <w:tcPr>
            <w:tcW w:w="2239" w:type="dxa"/>
          </w:tcPr>
          <w:p w14:paraId="320050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FAC95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FR-IPD-12，详设 8 章</w:t>
            </w:r>
          </w:p>
        </w:tc>
      </w:tr>
      <w:tr w14:paraId="264A1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AA5B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URS-NUR-02</w:t>
            </w:r>
          </w:p>
        </w:tc>
        <w:tc>
          <w:tcPr>
            <w:tcW w:w="2239" w:type="dxa"/>
          </w:tcPr>
          <w:p w14:paraId="069542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护理文书（三测单、记录单、生命体征）同患者同类型同时点唯一，重复录入直接拒绝</w:t>
            </w:r>
          </w:p>
        </w:tc>
        <w:tc>
          <w:tcPr>
            <w:tcW w:w="2239" w:type="dxa"/>
          </w:tcPr>
          <w:p w14:paraId="0095C8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BECE0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FR-IPD-31</w:t>
            </w:r>
          </w:p>
        </w:tc>
      </w:tr>
      <w:tr w14:paraId="5CDC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8EA91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URS-NUR-03</w:t>
            </w:r>
          </w:p>
        </w:tc>
        <w:tc>
          <w:tcPr>
            <w:tcW w:w="2239" w:type="dxa"/>
          </w:tcPr>
          <w:p w14:paraId="73CFB2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病区排班校验同一护士同日不重复占用，只允许本病区（或授权范围）内配置</w:t>
            </w:r>
          </w:p>
        </w:tc>
        <w:tc>
          <w:tcPr>
            <w:tcW w:w="2239" w:type="dxa"/>
          </w:tcPr>
          <w:p w14:paraId="230614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64A7C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FR-NUR-02，详设 9 章</w:t>
            </w:r>
          </w:p>
        </w:tc>
      </w:tr>
      <w:tr w14:paraId="13AB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A802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URS-NUR-04</w:t>
            </w:r>
          </w:p>
        </w:tc>
        <w:tc>
          <w:tcPr>
            <w:tcW w:w="2239" w:type="dxa"/>
          </w:tcPr>
          <w:p w14:paraId="301989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护理质控指标（含千床日率）服务端复算、可重算，趋势与看板按病区/月度出并可上报</w:t>
            </w:r>
          </w:p>
        </w:tc>
        <w:tc>
          <w:tcPr>
            <w:tcW w:w="2239" w:type="dxa"/>
          </w:tcPr>
          <w:p w14:paraId="26DD38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1B802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FR-NUR-03/04</w:t>
            </w:r>
          </w:p>
        </w:tc>
      </w:tr>
      <w:tr w14:paraId="2FE6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E922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URS-NUR-05</w:t>
            </w:r>
          </w:p>
        </w:tc>
        <w:tc>
          <w:tcPr>
            <w:tcW w:w="2239" w:type="dxa"/>
          </w:tcPr>
          <w:p w14:paraId="4D67CB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VTE 危险等级与比率全部服务端算，中高危名单查得到人、追得到措施落实</w:t>
            </w:r>
          </w:p>
        </w:tc>
        <w:tc>
          <w:tcPr>
            <w:tcW w:w="2239" w:type="dxa"/>
          </w:tcPr>
          <w:p w14:paraId="4B9A68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D5C81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FR-NUR-05/06、FR-IPD-35</w:t>
            </w:r>
          </w:p>
        </w:tc>
      </w:tr>
      <w:tr w14:paraId="4BCA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A77A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URS-NUR-06</w:t>
            </w:r>
          </w:p>
        </w:tc>
        <w:tc>
          <w:tcPr>
            <w:tcW w:w="2239" w:type="dxa"/>
          </w:tcPr>
          <w:p w14:paraId="0EAD59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护理评估量表结论服务端派生，历史评估不许就地修改</w:t>
            </w:r>
          </w:p>
        </w:tc>
        <w:tc>
          <w:tcPr>
            <w:tcW w:w="2239" w:type="dxa"/>
          </w:tcPr>
          <w:p w14:paraId="756F12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4E108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FR-NUR-07</w:t>
            </w:r>
          </w:p>
        </w:tc>
      </w:tr>
      <w:tr w14:paraId="6E6C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0E81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URS-NUR-07</w:t>
            </w:r>
          </w:p>
        </w:tc>
        <w:tc>
          <w:tcPr>
            <w:tcW w:w="2239" w:type="dxa"/>
          </w:tcPr>
          <w:p w14:paraId="427D18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住院输液执行按"开始滴速—巡视—结束"链记录；输血床旁核对两名护士、必核项逐项确认</w:t>
            </w:r>
          </w:p>
        </w:tc>
        <w:tc>
          <w:tcPr>
            <w:tcW w:w="2239" w:type="dxa"/>
          </w:tcPr>
          <w:p w14:paraId="62260E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EB2AB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FR-IPD-32、FR-MT-23</w:t>
            </w:r>
          </w:p>
        </w:tc>
      </w:tr>
      <w:tr w14:paraId="72D5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76DB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URS-NUR-08</w:t>
            </w:r>
          </w:p>
        </w:tc>
        <w:tc>
          <w:tcPr>
            <w:tcW w:w="2239" w:type="dxa"/>
          </w:tcPr>
          <w:p w14:paraId="5E97DA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订餐只接受口服途径医嘱派生的方案，配送状态可追溯到患者与餐次</w:t>
            </w:r>
          </w:p>
        </w:tc>
        <w:tc>
          <w:tcPr>
            <w:tcW w:w="2239" w:type="dxa"/>
          </w:tcPr>
          <w:p w14:paraId="562E9F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4B94CB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FR-IPD-34</w:t>
            </w:r>
          </w:p>
        </w:tc>
      </w:tr>
      <w:tr w14:paraId="7B87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F85F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URS-NUR-09</w:t>
            </w:r>
          </w:p>
        </w:tc>
        <w:tc>
          <w:tcPr>
            <w:tcW w:w="2239" w:type="dxa"/>
          </w:tcPr>
          <w:p w14:paraId="588C92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摆药-领药-退药与病区日结衔接，允许退药后重摆</w:t>
            </w:r>
          </w:p>
        </w:tc>
        <w:tc>
          <w:tcPr>
            <w:tcW w:w="2239" w:type="dxa"/>
          </w:tcPr>
          <w:p w14:paraId="2A7CED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5AB41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FR-PH-24，详设 9/11 章</w:t>
            </w:r>
          </w:p>
        </w:tc>
      </w:tr>
    </w:tbl>
    <w:p w14:paraId="173B8A0B">
      <w:pPr>
        <w:spacing w:after="40"/>
      </w:pPr>
    </w:p>
    <w:p w14:paraId="6659781E">
      <w:r>
        <w:rPr>
          <w:rFonts w:ascii="Times New Roman" w:hAnsi="Times New Roman" w:eastAsia="黑体"/>
          <w:b/>
          <w:sz w:val="21"/>
        </w:rPr>
        <w:t>原始诉求摘录</w:t>
      </w:r>
      <w:r>
        <w:rPr>
          <w:rFonts w:ascii="Times New Roman" w:hAnsi="Times New Roman" w:eastAsia="宋体"/>
          <w:b w:val="0"/>
          <w:sz w:val="21"/>
        </w:rPr>
        <w:t>：「排班是"以人为中心"的，我关心的是这个人明天在不在本病区，不是台账好不好看」（URS-NUR-02/03 的动机）。</w:t>
      </w:r>
    </w:p>
    <w:p w14:paraId="20C08FDF">
      <w:pPr>
        <w:pStyle w:val="4"/>
        <w:keepNext/>
        <w:spacing w:before="160" w:after="120"/>
      </w:pPr>
      <w:bookmarkStart w:id="16" w:name="_Toc25440"/>
      <w:r>
        <w:rPr>
          <w:rFonts w:ascii="Times New Roman" w:hAnsi="Times New Roman" w:eastAsia="黑体"/>
          <w:b/>
          <w:color w:val="000000"/>
          <w:sz w:val="27"/>
        </w:rPr>
        <w:t>3.6 药剂科：窗口药师、审方药师、药库采购</w:t>
      </w:r>
      <w:bookmarkEnd w:id="16"/>
    </w:p>
    <w:p w14:paraId="405B57A5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：药品账实相符的责任岗；门诊窗口对"收没收费"敏感，药库对"货在哪"敏感。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375F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064B43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7646544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4FB66FA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13FC17C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706D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BE74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URS-PH-01</w:t>
            </w:r>
          </w:p>
        </w:tc>
        <w:tc>
          <w:tcPr>
            <w:tcW w:w="2239" w:type="dxa"/>
          </w:tcPr>
          <w:p w14:paraId="31A1CA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库存唯一库位事实是批次上的 </w:t>
            </w:r>
            <w:r>
              <w:rPr>
                <w:rFonts w:ascii="Consolas" w:hAnsi="Consolas" w:eastAsia="Consolas"/>
                <w:b w:val="0"/>
                <w:sz w:val="17"/>
              </w:rPr>
              <w:t>stock_room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（药库/药房）；发药、锁库、退药回库、效期先出只在药房侧</w:t>
            </w:r>
          </w:p>
        </w:tc>
        <w:tc>
          <w:tcPr>
            <w:tcW w:w="2239" w:type="dxa"/>
          </w:tcPr>
          <w:p w14:paraId="3A0E89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9770B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FR-PH-01，详设 11 章</w:t>
            </w:r>
          </w:p>
        </w:tc>
      </w:tr>
      <w:tr w14:paraId="2BE8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BBC3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URS-PH-02</w:t>
            </w:r>
          </w:p>
        </w:tc>
        <w:tc>
          <w:tcPr>
            <w:tcW w:w="2239" w:type="dxa"/>
          </w:tcPr>
          <w:p w14:paraId="4F5429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药进药房</w:t>
            </w:r>
            <w:r>
              <w:rPr>
                <w:rFonts w:ascii="Times New Roman" w:hAnsi="Times New Roman" w:eastAsia="黑体"/>
                <w:b/>
                <w:sz w:val="18"/>
              </w:rPr>
              <w:t>只有调拨一条路</w:t>
            </w:r>
            <w:r>
              <w:rPr>
                <w:rFonts w:ascii="Times New Roman" w:hAnsi="Times New Roman" w:eastAsia="宋体"/>
                <w:b w:val="0"/>
                <w:sz w:val="18"/>
              </w:rPr>
              <w:t>；采购入库一律落药库层，不许"直接建药房批次"</w:t>
            </w:r>
          </w:p>
        </w:tc>
        <w:tc>
          <w:tcPr>
            <w:tcW w:w="2239" w:type="dxa"/>
          </w:tcPr>
          <w:p w14:paraId="7194D9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5C347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FR-PH-02</w:t>
            </w:r>
          </w:p>
        </w:tc>
      </w:tr>
      <w:tr w14:paraId="2485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7ACE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URS-PH-03</w:t>
            </w:r>
          </w:p>
        </w:tc>
        <w:tc>
          <w:tcPr>
            <w:tcW w:w="2239" w:type="dxa"/>
          </w:tcPr>
          <w:p w14:paraId="789AE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调拨一张单必出两行流水且合计为零，按单据捞取以便发现"搬出去还没搬进来"</w:t>
            </w:r>
          </w:p>
        </w:tc>
        <w:tc>
          <w:tcPr>
            <w:tcW w:w="2239" w:type="dxa"/>
          </w:tcPr>
          <w:p w14:paraId="23D8E2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87853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FR-PH-04</w:t>
            </w:r>
          </w:p>
        </w:tc>
      </w:tr>
      <w:tr w14:paraId="76DB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EC07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URS-PH-04</w:t>
            </w:r>
          </w:p>
        </w:tc>
        <w:tc>
          <w:tcPr>
            <w:tcW w:w="2239" w:type="dxa"/>
          </w:tcPr>
          <w:p w14:paraId="6327A8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成本随货走、同批号按到货额加权，不许沿用接收方旧成本</w:t>
            </w:r>
          </w:p>
        </w:tc>
        <w:tc>
          <w:tcPr>
            <w:tcW w:w="2239" w:type="dxa"/>
          </w:tcPr>
          <w:p w14:paraId="4D2352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57A5B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FR-PH-05</w:t>
            </w:r>
          </w:p>
        </w:tc>
      </w:tr>
      <w:tr w14:paraId="649E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E4400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URS-PH-05</w:t>
            </w:r>
          </w:p>
        </w:tc>
        <w:tc>
          <w:tcPr>
            <w:tcW w:w="2239" w:type="dxa"/>
          </w:tcPr>
          <w:p w14:paraId="10CA43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门诊发药以"处方已结清 + 审方通过"为前提；退药回库写正向流水、状态联动</w:t>
            </w:r>
          </w:p>
        </w:tc>
        <w:tc>
          <w:tcPr>
            <w:tcW w:w="2239" w:type="dxa"/>
          </w:tcPr>
          <w:p w14:paraId="3E0726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16F9D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FR-PH-21/22</w:t>
            </w:r>
          </w:p>
        </w:tc>
      </w:tr>
      <w:tr w14:paraId="2C99E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DC14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URS-PH-06</w:t>
            </w:r>
          </w:p>
        </w:tc>
        <w:tc>
          <w:tcPr>
            <w:tcW w:w="2239" w:type="dxa"/>
          </w:tcPr>
          <w:p w14:paraId="2680F9D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退费只退钱，绝不替药师办退药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；存在"已发药未退药"就拒绝退费</w:t>
            </w:r>
          </w:p>
        </w:tc>
        <w:tc>
          <w:tcPr>
            <w:tcW w:w="2239" w:type="dxa"/>
          </w:tcPr>
          <w:p w14:paraId="18CCFF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687CD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FR-PH-23、FR-FIN-17</w:t>
            </w:r>
          </w:p>
        </w:tc>
      </w:tr>
      <w:tr w14:paraId="334F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B85A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URS-PH-07</w:t>
            </w:r>
          </w:p>
        </w:tc>
        <w:tc>
          <w:tcPr>
            <w:tcW w:w="2239" w:type="dxa"/>
          </w:tcPr>
          <w:p w14:paraId="25284C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麻精药品限量校验 + 双人复核 + 专册逐笔自动登记 + 空安瓿回收只追加，专册不可改删</w:t>
            </w:r>
          </w:p>
        </w:tc>
        <w:tc>
          <w:tcPr>
            <w:tcW w:w="2239" w:type="dxa"/>
          </w:tcPr>
          <w:p w14:paraId="43C8F0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1A26D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FR-PH-29</w:t>
            </w:r>
          </w:p>
        </w:tc>
      </w:tr>
      <w:tr w14:paraId="68E3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128D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URS-PH-08</w:t>
            </w:r>
          </w:p>
        </w:tc>
        <w:tc>
          <w:tcPr>
            <w:tcW w:w="2239" w:type="dxa"/>
          </w:tcPr>
          <w:p w14:paraId="0CA795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近效期与短缺预警阈值可配置，批次候选按效期先出排序</w:t>
            </w:r>
          </w:p>
        </w:tc>
        <w:tc>
          <w:tcPr>
            <w:tcW w:w="2239" w:type="dxa"/>
          </w:tcPr>
          <w:p w14:paraId="5E4D8D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4143C1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FR-PH-08</w:t>
            </w:r>
          </w:p>
        </w:tc>
      </w:tr>
      <w:tr w14:paraId="7840E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2B8F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URS-PH-09</w:t>
            </w:r>
          </w:p>
        </w:tc>
        <w:tc>
          <w:tcPr>
            <w:tcW w:w="2239" w:type="dxa"/>
          </w:tcPr>
          <w:p w14:paraId="728094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被采购单引用过的供应商不许删除只能停用；追溯码入库扫码采集、发药扫码核销</w:t>
            </w:r>
          </w:p>
        </w:tc>
        <w:tc>
          <w:tcPr>
            <w:tcW w:w="2239" w:type="dxa"/>
          </w:tcPr>
          <w:p w14:paraId="244196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09A22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FR-PH-13/15</w:t>
            </w:r>
          </w:p>
        </w:tc>
      </w:tr>
      <w:tr w14:paraId="3A2BE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2F77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URS-PH-10</w:t>
            </w:r>
          </w:p>
        </w:tc>
        <w:tc>
          <w:tcPr>
            <w:tcW w:w="2239" w:type="dxa"/>
          </w:tcPr>
          <w:p w14:paraId="69D069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处方点评结论、超常处方公示、医师约谈记录分权限管理（公示独立授权）</w:t>
            </w:r>
          </w:p>
        </w:tc>
        <w:tc>
          <w:tcPr>
            <w:tcW w:w="2239" w:type="dxa"/>
          </w:tcPr>
          <w:p w14:paraId="583408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437D91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FR-PH-30</w:t>
            </w:r>
          </w:p>
        </w:tc>
      </w:tr>
      <w:tr w14:paraId="7577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5FE8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URS-PH-11</w:t>
            </w:r>
          </w:p>
        </w:tc>
        <w:tc>
          <w:tcPr>
            <w:tcW w:w="2239" w:type="dxa"/>
          </w:tcPr>
          <w:p w14:paraId="044C96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中药饮片按"每剂克数 × 剂数"管理；静配按候选生成到成品输液全流程</w:t>
            </w:r>
          </w:p>
        </w:tc>
        <w:tc>
          <w:tcPr>
            <w:tcW w:w="2239" w:type="dxa"/>
          </w:tcPr>
          <w:p w14:paraId="6A502A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184C5F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FR-PH-26/27</w:t>
            </w:r>
          </w:p>
        </w:tc>
      </w:tr>
      <w:tr w14:paraId="7EBA8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15D2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URS-PH-12</w:t>
            </w:r>
          </w:p>
        </w:tc>
        <w:tc>
          <w:tcPr>
            <w:tcW w:w="2239" w:type="dxa"/>
          </w:tcPr>
          <w:p w14:paraId="3CDCA9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库房选药、病历搜诊断这类公共下拉不能被权限码挡住（见 5.2 事件复盘）</w:t>
            </w:r>
          </w:p>
        </w:tc>
        <w:tc>
          <w:tcPr>
            <w:tcW w:w="2239" w:type="dxa"/>
          </w:tcPr>
          <w:p w14:paraId="6722E2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E7ABB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FR-SYS-05，详设 20 章</w:t>
            </w:r>
          </w:p>
        </w:tc>
      </w:tr>
    </w:tbl>
    <w:p w14:paraId="381EB4F0">
      <w:pPr>
        <w:spacing w:after="40"/>
      </w:pPr>
    </w:p>
    <w:p w14:paraId="18CF215B">
      <w:pPr>
        <w:pStyle w:val="4"/>
        <w:keepNext/>
        <w:spacing w:before="160" w:after="120"/>
      </w:pPr>
      <w:bookmarkStart w:id="17" w:name="_Toc12706"/>
      <w:r>
        <w:rPr>
          <w:rFonts w:ascii="Times New Roman" w:hAnsi="Times New Roman" w:eastAsia="黑体"/>
          <w:b/>
          <w:color w:val="000000"/>
          <w:sz w:val="27"/>
        </w:rPr>
        <w:t>3.7 医技科室（检验、检查、心电、病理、血库、血透）</w:t>
      </w:r>
      <w:bookmarkEnd w:id="17"/>
    </w:p>
    <w:p w14:paraId="2520F4A1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：流水线作业岗，状态推进 + 报告发布；对"标本丢了、报告发错了、危急值没人接"零容忍。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734B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811AAD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0F59194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51B8467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55368B4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603FA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B05E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URS-MT-01</w:t>
            </w:r>
          </w:p>
        </w:tc>
        <w:tc>
          <w:tcPr>
            <w:tcW w:w="2239" w:type="dxa"/>
          </w:tcPr>
          <w:p w14:paraId="5C8C53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申请单开单即落库可查，标本三态（条码/采集/退回）扫码即定位到申请</w:t>
            </w:r>
          </w:p>
        </w:tc>
        <w:tc>
          <w:tcPr>
            <w:tcW w:w="2239" w:type="dxa"/>
          </w:tcPr>
          <w:p w14:paraId="1DC60B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2EDB0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FR-MT-01/02，详设 10 章</w:t>
            </w:r>
          </w:p>
        </w:tc>
      </w:tr>
      <w:tr w14:paraId="31557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DCDB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URS-MT-02</w:t>
            </w:r>
          </w:p>
        </w:tc>
        <w:tc>
          <w:tcPr>
            <w:tcW w:w="2239" w:type="dxa"/>
          </w:tcPr>
          <w:p w14:paraId="58BF75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异常标志由服务端按参考范围自动回填；范围格式解析不了时</w:t>
            </w:r>
            <w:r>
              <w:rPr>
                <w:rFonts w:ascii="Times New Roman" w:hAnsi="Times New Roman" w:eastAsia="黑体"/>
                <w:b/>
                <w:sz w:val="18"/>
              </w:rPr>
              <w:t>不做判定并留痕，禁止猜测</w:t>
            </w:r>
          </w:p>
        </w:tc>
        <w:tc>
          <w:tcPr>
            <w:tcW w:w="2239" w:type="dxa"/>
          </w:tcPr>
          <w:p w14:paraId="641112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E136F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FR-MT-03</w:t>
            </w:r>
          </w:p>
        </w:tc>
      </w:tr>
      <w:tr w14:paraId="14CB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16C2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URS-MT-03</w:t>
            </w:r>
          </w:p>
        </w:tc>
        <w:tc>
          <w:tcPr>
            <w:tcW w:w="2239" w:type="dxa"/>
          </w:tcPr>
          <w:p w14:paraId="07AB1A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报告审核与发布分离；发布动作触发签名与消息推送，临床端与患者端此后才可见</w:t>
            </w:r>
          </w:p>
        </w:tc>
        <w:tc>
          <w:tcPr>
            <w:tcW w:w="2239" w:type="dxa"/>
          </w:tcPr>
          <w:p w14:paraId="00FA2C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FF8C7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FR-MT-04</w:t>
            </w:r>
          </w:p>
        </w:tc>
      </w:tr>
      <w:tr w14:paraId="677E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A0A7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URS-MT-04</w:t>
            </w:r>
          </w:p>
        </w:tc>
        <w:tc>
          <w:tcPr>
            <w:tcW w:w="2239" w:type="dxa"/>
          </w:tcPr>
          <w:p w14:paraId="2328BF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危急值纯规则判定不依赖模型，判完立刻站内信 + 工作台提示</w:t>
            </w:r>
            <w:r>
              <w:rPr>
                <w:rFonts w:ascii="Times New Roman" w:hAnsi="Times New Roman" w:eastAsia="黑体"/>
                <w:b/>
                <w:sz w:val="18"/>
              </w:rPr>
              <w:t>到人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；超时自动升级、每人每事件只催一次、台账可导出</w:t>
            </w:r>
          </w:p>
        </w:tc>
        <w:tc>
          <w:tcPr>
            <w:tcW w:w="2239" w:type="dxa"/>
          </w:tcPr>
          <w:p w14:paraId="1BFE11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6F7BE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FR-MT-05/06/07</w:t>
            </w:r>
          </w:p>
        </w:tc>
      </w:tr>
      <w:tr w14:paraId="435C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7CF2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URS-MT-05</w:t>
            </w:r>
          </w:p>
        </w:tc>
        <w:tc>
          <w:tcPr>
            <w:tcW w:w="2239" w:type="dxa"/>
          </w:tcPr>
          <w:p w14:paraId="2B7D04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大型设备检查必须过预约中心占号：冲突要点名到具体记录，号源格子可对账重算，爽约自动回收且可重入</w:t>
            </w:r>
          </w:p>
        </w:tc>
        <w:tc>
          <w:tcPr>
            <w:tcW w:w="2239" w:type="dxa"/>
          </w:tcPr>
          <w:p w14:paraId="6F5427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A80F9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FR-MT-12/13/14</w:t>
            </w:r>
          </w:p>
        </w:tc>
      </w:tr>
      <w:tr w14:paraId="1FF5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7173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URS-MT-06</w:t>
            </w:r>
          </w:p>
        </w:tc>
        <w:tc>
          <w:tcPr>
            <w:tcW w:w="2239" w:type="dxa"/>
          </w:tcPr>
          <w:p w14:paraId="795470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放射报告三道硬闸门：放射类项目、已完成检查、书写者不得自审（双人双签）</w:t>
            </w:r>
          </w:p>
        </w:tc>
        <w:tc>
          <w:tcPr>
            <w:tcW w:w="2239" w:type="dxa"/>
          </w:tcPr>
          <w:p w14:paraId="2FABDF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113EE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FR-MT-15</w:t>
            </w:r>
          </w:p>
        </w:tc>
      </w:tr>
      <w:tr w14:paraId="4D00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6283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URS-MT-07</w:t>
            </w:r>
          </w:p>
        </w:tc>
        <w:tc>
          <w:tcPr>
            <w:tcW w:w="2239" w:type="dxa"/>
          </w:tcPr>
          <w:p w14:paraId="12B1C8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个人报告模板仅本人可见，公用模板全科室可见</w:t>
            </w:r>
          </w:p>
        </w:tc>
        <w:tc>
          <w:tcPr>
            <w:tcW w:w="2239" w:type="dxa"/>
          </w:tcPr>
          <w:p w14:paraId="32C02F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75E154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FR-MT-16</w:t>
            </w:r>
          </w:p>
        </w:tc>
      </w:tr>
      <w:tr w14:paraId="4231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9154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URS-MT-08</w:t>
            </w:r>
          </w:p>
        </w:tc>
        <w:tc>
          <w:tcPr>
            <w:tcW w:w="2239" w:type="dxa"/>
          </w:tcPr>
          <w:p w14:paraId="47E5FF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用血逐袋可追溯：申请带双分型、配血发血逐袋、报废与发血数量和库存对得上</w:t>
            </w:r>
          </w:p>
        </w:tc>
        <w:tc>
          <w:tcPr>
            <w:tcW w:w="2239" w:type="dxa"/>
          </w:tcPr>
          <w:p w14:paraId="31670C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0D755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FR-MT-23/25</w:t>
            </w:r>
          </w:p>
        </w:tc>
      </w:tr>
      <w:tr w14:paraId="3921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CA45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URS-MT-09</w:t>
            </w:r>
          </w:p>
        </w:tc>
        <w:tc>
          <w:tcPr>
            <w:tcW w:w="2239" w:type="dxa"/>
          </w:tcPr>
          <w:p w14:paraId="548393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质控（室内失控、室间盲样）判定与统计量一律服务端算，失控可追溯到处理动作与处理人</w:t>
            </w:r>
          </w:p>
        </w:tc>
        <w:tc>
          <w:tcPr>
            <w:tcW w:w="2239" w:type="dxa"/>
          </w:tcPr>
          <w:p w14:paraId="1F4719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ACD9E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FR-MT-31/32/33</w:t>
            </w:r>
          </w:p>
        </w:tc>
      </w:tr>
      <w:tr w14:paraId="79ED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2665A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URS-MT-10</w:t>
            </w:r>
          </w:p>
        </w:tc>
        <w:tc>
          <w:tcPr>
            <w:tcW w:w="2239" w:type="dxa"/>
          </w:tcPr>
          <w:p w14:paraId="0DF22A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取消治疗计划必须释放机位且可重入；本域不自动生成收费单、不扣库存，费用物资归主域</w:t>
            </w:r>
          </w:p>
        </w:tc>
        <w:tc>
          <w:tcPr>
            <w:tcW w:w="2239" w:type="dxa"/>
          </w:tcPr>
          <w:p w14:paraId="27564E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7C7E63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FR-MT-27</w:t>
            </w:r>
          </w:p>
        </w:tc>
      </w:tr>
    </w:tbl>
    <w:p w14:paraId="1853FCFF">
      <w:pPr>
        <w:spacing w:after="40"/>
      </w:pPr>
    </w:p>
    <w:p w14:paraId="3C8E3899">
      <w:pPr>
        <w:pStyle w:val="4"/>
        <w:keepNext/>
        <w:spacing w:before="160" w:after="120"/>
      </w:pPr>
      <w:bookmarkStart w:id="18" w:name="_Toc19017"/>
      <w:r>
        <w:rPr>
          <w:rFonts w:ascii="Times New Roman" w:hAnsi="Times New Roman" w:eastAsia="黑体"/>
          <w:b/>
          <w:color w:val="000000"/>
          <w:sz w:val="27"/>
        </w:rPr>
        <w:t>3.8 收费员、出纳与财务人员</w:t>
      </w:r>
      <w:bookmarkEnd w:id="18"/>
    </w:p>
    <w:p w14:paraId="2B4BFDB2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：对"真金白银"负责的人。他们的诉求本质是一句话：</w:t>
      </w:r>
      <w:r>
        <w:rPr>
          <w:rFonts w:ascii="Times New Roman" w:hAnsi="Times New Roman" w:eastAsia="黑体"/>
          <w:b/>
          <w:sz w:val="21"/>
        </w:rPr>
        <w:t>每一笔钱说得清来龙去脉，日结时账实相符</w:t>
      </w:r>
      <w:r>
        <w:rPr>
          <w:rFonts w:ascii="Times New Roman" w:hAnsi="Times New Roman" w:eastAsia="宋体"/>
          <w:b w:val="0"/>
          <w:sz w:val="21"/>
        </w:rPr>
        <w:t>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538F0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AD019F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426E39E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3DDB734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461C7A9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19C7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0F1D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URS-FIN-01</w:t>
            </w:r>
          </w:p>
        </w:tc>
        <w:tc>
          <w:tcPr>
            <w:tcW w:w="2239" w:type="dxa"/>
          </w:tcPr>
          <w:p w14:paraId="3B27A6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记账行金额一经写入不许改，错账只能红冲（负行 + 原行互指）；</w:t>
            </w:r>
            <w:r>
              <w:rPr>
                <w:rFonts w:ascii="Times New Roman" w:hAnsi="Times New Roman" w:eastAsia="黑体"/>
                <w:b/>
                <w:sz w:val="18"/>
              </w:rPr>
              <w:t>不接受"改数字"式的调账</w:t>
            </w:r>
          </w:p>
        </w:tc>
        <w:tc>
          <w:tcPr>
            <w:tcW w:w="2239" w:type="dxa"/>
          </w:tcPr>
          <w:p w14:paraId="52EE7A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42DF5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FR-FIN-01/02/03，详设 13 章</w:t>
            </w:r>
          </w:p>
        </w:tc>
      </w:tr>
      <w:tr w14:paraId="784A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1AE1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URS-FIN-02</w:t>
            </w:r>
          </w:p>
        </w:tc>
        <w:tc>
          <w:tcPr>
            <w:tcW w:w="2239" w:type="dxa"/>
          </w:tcPr>
          <w:p w14:paraId="39431B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优惠与医保拆分分列：院内优惠/抹零归优惠列，统筹、个账、自付各一列，</w:t>
            </w:r>
            <w:r>
              <w:rPr>
                <w:rFonts w:ascii="Times New Roman" w:hAnsi="Times New Roman" w:eastAsia="黑体"/>
                <w:b/>
                <w:sz w:val="18"/>
              </w:rPr>
              <w:t>不许互相借用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（见 5.3 事件复盘）</w:t>
            </w:r>
          </w:p>
        </w:tc>
        <w:tc>
          <w:tcPr>
            <w:tcW w:w="2239" w:type="dxa"/>
          </w:tcPr>
          <w:p w14:paraId="27C5BF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9E2AF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FR-FIN-05/06</w:t>
            </w:r>
          </w:p>
        </w:tc>
      </w:tr>
      <w:tr w14:paraId="513A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C67F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URS-FIN-03</w:t>
            </w:r>
          </w:p>
        </w:tc>
        <w:tc>
          <w:tcPr>
            <w:tcW w:w="2239" w:type="dxa"/>
          </w:tcPr>
          <w:p w14:paraId="453468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一笔钱一行、收退同表带符号，现金+医保个账+账户余额组合支付要能表达；日结 </w:t>
            </w:r>
            <w:r>
              <w:rPr>
                <w:rFonts w:ascii="Consolas" w:hAnsi="Consolas" w:eastAsia="Consolas"/>
                <w:b w:val="0"/>
                <w:sz w:val="17"/>
              </w:rPr>
              <w:t>SUM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即净额</w:t>
            </w:r>
          </w:p>
        </w:tc>
        <w:tc>
          <w:tcPr>
            <w:tcW w:w="2239" w:type="dxa"/>
          </w:tcPr>
          <w:p w14:paraId="0E2F56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709A4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FR-FIN-08</w:t>
            </w:r>
          </w:p>
        </w:tc>
      </w:tr>
      <w:tr w14:paraId="10BB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977C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URS-FIN-04</w:t>
            </w:r>
          </w:p>
        </w:tc>
        <w:tc>
          <w:tcPr>
            <w:tcW w:w="2239" w:type="dxa"/>
          </w:tcPr>
          <w:p w14:paraId="418F3A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支付流水永不删除、金额永不 UPDATE，冲正翻状态另起反向流水</w:t>
            </w:r>
          </w:p>
        </w:tc>
        <w:tc>
          <w:tcPr>
            <w:tcW w:w="2239" w:type="dxa"/>
          </w:tcPr>
          <w:p w14:paraId="18522E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0D069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FR-FIN-09</w:t>
            </w:r>
          </w:p>
        </w:tc>
      </w:tr>
      <w:tr w14:paraId="5EA5E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3F43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URS-FIN-05</w:t>
            </w:r>
          </w:p>
        </w:tc>
        <w:tc>
          <w:tcPr>
            <w:tcW w:w="2239" w:type="dxa"/>
          </w:tcPr>
          <w:p w14:paraId="358B46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班结/日结/渠道勾对的事实来源必须是支付流水表，不是任何状态列；日结一天一张可重入</w:t>
            </w:r>
          </w:p>
        </w:tc>
        <w:tc>
          <w:tcPr>
            <w:tcW w:w="2239" w:type="dxa"/>
          </w:tcPr>
          <w:p w14:paraId="27FD0F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AF803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FR-FIN-12/13</w:t>
            </w:r>
          </w:p>
        </w:tc>
      </w:tr>
      <w:tr w14:paraId="5F44E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5968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URS-FIN-06</w:t>
            </w:r>
          </w:p>
        </w:tc>
        <w:tc>
          <w:tcPr>
            <w:tcW w:w="2239" w:type="dxa"/>
          </w:tcPr>
          <w:p w14:paraId="2600EB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账户余额永远等于流水合计，门诊余额与住院预交金共用一本账</w:t>
            </w:r>
          </w:p>
        </w:tc>
        <w:tc>
          <w:tcPr>
            <w:tcW w:w="2239" w:type="dxa"/>
          </w:tcPr>
          <w:p w14:paraId="1AAFD2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B4E19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FR-FIN-10</w:t>
            </w:r>
          </w:p>
        </w:tc>
      </w:tr>
      <w:tr w14:paraId="40488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2F20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URS-FIN-07</w:t>
            </w:r>
          </w:p>
        </w:tc>
        <w:tc>
          <w:tcPr>
            <w:tcW w:w="2239" w:type="dxa"/>
          </w:tcPr>
          <w:p w14:paraId="66A080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票据与账单一对一、票面为净实收；作废重开必须接红冲链</w:t>
            </w:r>
          </w:p>
        </w:tc>
        <w:tc>
          <w:tcPr>
            <w:tcW w:w="2239" w:type="dxa"/>
          </w:tcPr>
          <w:p w14:paraId="682DE1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A9F7A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FR-FIN-11</w:t>
            </w:r>
          </w:p>
        </w:tc>
      </w:tr>
      <w:tr w14:paraId="076E2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5871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URS-FIN-08</w:t>
            </w:r>
          </w:p>
        </w:tc>
        <w:tc>
          <w:tcPr>
            <w:tcW w:w="2239" w:type="dxa"/>
          </w:tcPr>
          <w:p w14:paraId="7932D7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手工补记账只对错漏费开放，是记账层唯一人工录入口，必须有原因且按列宽截断（见 5.6）</w:t>
            </w:r>
          </w:p>
        </w:tc>
        <w:tc>
          <w:tcPr>
            <w:tcW w:w="2239" w:type="dxa"/>
          </w:tcPr>
          <w:p w14:paraId="0981A7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CEE39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FR-FIN-15</w:t>
            </w:r>
          </w:p>
        </w:tc>
      </w:tr>
      <w:tr w14:paraId="0C056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817A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URS-FIN-09</w:t>
            </w:r>
          </w:p>
        </w:tc>
        <w:tc>
          <w:tcPr>
            <w:tcW w:w="2239" w:type="dxa"/>
          </w:tcPr>
          <w:p w14:paraId="252C1F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退费走前置审批单；出院结算先出结算单，欠费也要保留结算单事实</w:t>
            </w:r>
          </w:p>
        </w:tc>
        <w:tc>
          <w:tcPr>
            <w:tcW w:w="2239" w:type="dxa"/>
          </w:tcPr>
          <w:p w14:paraId="7AAD71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CC4E6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FR-FIN-16/21/22</w:t>
            </w:r>
          </w:p>
        </w:tc>
      </w:tr>
      <w:tr w14:paraId="16BB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E5EDB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URS-FIN-10</w:t>
            </w:r>
          </w:p>
        </w:tc>
        <w:tc>
          <w:tcPr>
            <w:tcW w:w="2239" w:type="dxa"/>
          </w:tcPr>
          <w:p w14:paraId="70FB70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临床侧判断"费用已结清"读账单状态，免收、零元单、后付费不需要我造假数据</w:t>
            </w:r>
          </w:p>
        </w:tc>
        <w:tc>
          <w:tcPr>
            <w:tcW w:w="2239" w:type="dxa"/>
          </w:tcPr>
          <w:p w14:paraId="7C2DC5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ECE33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FR-FIN-14</w:t>
            </w:r>
          </w:p>
        </w:tc>
      </w:tr>
    </w:tbl>
    <w:p w14:paraId="03B322E1">
      <w:pPr>
        <w:spacing w:after="40"/>
      </w:pPr>
    </w:p>
    <w:p w14:paraId="03440813">
      <w:pPr>
        <w:pStyle w:val="4"/>
        <w:keepNext/>
        <w:spacing w:before="160" w:after="120"/>
      </w:pPr>
      <w:bookmarkStart w:id="19" w:name="_Toc21119"/>
      <w:r>
        <w:rPr>
          <w:rFonts w:ascii="Times New Roman" w:hAnsi="Times New Roman" w:eastAsia="黑体"/>
          <w:b/>
          <w:color w:val="000000"/>
          <w:sz w:val="27"/>
        </w:rPr>
        <w:t>3.9 医保办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6D96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B685DF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238D386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078032F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60F8A88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56D29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26C0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URS-FIN-11</w:t>
            </w:r>
          </w:p>
        </w:tc>
        <w:tc>
          <w:tcPr>
            <w:tcW w:w="2239" w:type="dxa"/>
          </w:tcPr>
          <w:p w14:paraId="7A154C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医保目录本地库批量导入，院内项目与国家码对照只启停不删除</w:t>
            </w:r>
          </w:p>
        </w:tc>
        <w:tc>
          <w:tcPr>
            <w:tcW w:w="2239" w:type="dxa"/>
          </w:tcPr>
          <w:p w14:paraId="310B1E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B81CA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FR-FIN-31，详设 13 章</w:t>
            </w:r>
          </w:p>
        </w:tc>
      </w:tr>
      <w:tr w14:paraId="3F76B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8618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URS-FIN-12</w:t>
            </w:r>
          </w:p>
        </w:tc>
        <w:tc>
          <w:tcPr>
            <w:tcW w:w="2239" w:type="dxa"/>
          </w:tcPr>
          <w:p w14:paraId="30C6CB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统筹比例、乙类自付比例等政策参数集中配置</w:t>
            </w:r>
          </w:p>
        </w:tc>
        <w:tc>
          <w:tcPr>
            <w:tcW w:w="2239" w:type="dxa"/>
          </w:tcPr>
          <w:p w14:paraId="2803BA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ECA92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FR-FIN-32</w:t>
            </w:r>
          </w:p>
        </w:tc>
      </w:tr>
      <w:tr w14:paraId="5F6FF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66088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URS-FIN-13</w:t>
            </w:r>
          </w:p>
        </w:tc>
        <w:tc>
          <w:tcPr>
            <w:tcW w:w="2239" w:type="dxa"/>
          </w:tcPr>
          <w:p w14:paraId="57C810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门诊慢特病病种目录与人员备案分开维护，复诊与长处方资格据此判定</w:t>
            </w:r>
          </w:p>
        </w:tc>
        <w:tc>
          <w:tcPr>
            <w:tcW w:w="2239" w:type="dxa"/>
          </w:tcPr>
          <w:p w14:paraId="341FE8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10207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FR-FIN-33、FR-OPD-36</w:t>
            </w:r>
          </w:p>
        </w:tc>
      </w:tr>
      <w:tr w14:paraId="3AFC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8531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URS-FIN-14</w:t>
            </w:r>
          </w:p>
        </w:tc>
        <w:tc>
          <w:tcPr>
            <w:tcW w:w="2239" w:type="dxa"/>
          </w:tcPr>
          <w:p w14:paraId="0E2141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结算清单可按患者/就诊/明细/账单分段查看，预结算与正式结算两口径</w:t>
            </w:r>
          </w:p>
        </w:tc>
        <w:tc>
          <w:tcPr>
            <w:tcW w:w="2239" w:type="dxa"/>
          </w:tcPr>
          <w:p w14:paraId="5F6441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50012C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FR-FIN-34</w:t>
            </w:r>
          </w:p>
        </w:tc>
      </w:tr>
      <w:tr w14:paraId="5C3A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A3D1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URS-FIN-15</w:t>
            </w:r>
          </w:p>
        </w:tc>
        <w:tc>
          <w:tcPr>
            <w:tcW w:w="2239" w:type="dxa"/>
          </w:tcPr>
          <w:p w14:paraId="5C9C5B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报盘与撤销以报文形式产出、落库留痕、台账可查、日对账；真实上报通道以网关预留</w:t>
            </w:r>
          </w:p>
        </w:tc>
        <w:tc>
          <w:tcPr>
            <w:tcW w:w="2239" w:type="dxa"/>
          </w:tcPr>
          <w:p w14:paraId="37627E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865C6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FR-FIN-35</w:t>
            </w:r>
          </w:p>
        </w:tc>
      </w:tr>
      <w:tr w14:paraId="1C3D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9C12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URS-FIN-16</w:t>
            </w:r>
          </w:p>
        </w:tc>
        <w:tc>
          <w:tcPr>
            <w:tcW w:w="2239" w:type="dxa"/>
          </w:tcPr>
          <w:p w14:paraId="358DC4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低标入院、编码依据、高低倍率、逻辑排除四类合规规则内置，单条与批量三态结论留痕</w:t>
            </w:r>
          </w:p>
        </w:tc>
        <w:tc>
          <w:tcPr>
            <w:tcW w:w="2239" w:type="dxa"/>
          </w:tcPr>
          <w:p w14:paraId="03A751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40E1E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FR-FIN-36</w:t>
            </w:r>
          </w:p>
        </w:tc>
      </w:tr>
      <w:tr w14:paraId="3BF3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8E57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URS-FIN-17</w:t>
            </w:r>
          </w:p>
        </w:tc>
        <w:tc>
          <w:tcPr>
            <w:tcW w:w="2239" w:type="dxa"/>
          </w:tcPr>
          <w:p w14:paraId="4CE882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医保扣款形成"通知—处理—申诉"台账</w:t>
            </w:r>
          </w:p>
        </w:tc>
        <w:tc>
          <w:tcPr>
            <w:tcW w:w="2239" w:type="dxa"/>
          </w:tcPr>
          <w:p w14:paraId="7C34E7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7974D7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FR-FIN-37</w:t>
            </w:r>
          </w:p>
        </w:tc>
      </w:tr>
    </w:tbl>
    <w:p w14:paraId="22370F30">
      <w:pPr>
        <w:spacing w:after="40"/>
      </w:pPr>
    </w:p>
    <w:p w14:paraId="45324784">
      <w:pPr>
        <w:pStyle w:val="4"/>
        <w:keepNext/>
        <w:spacing w:before="160" w:after="120"/>
      </w:pPr>
      <w:bookmarkStart w:id="20" w:name="_Toc28171"/>
      <w:r>
        <w:rPr>
          <w:rFonts w:ascii="Times New Roman" w:hAnsi="Times New Roman" w:eastAsia="黑体"/>
          <w:b/>
          <w:color w:val="000000"/>
          <w:sz w:val="27"/>
        </w:rPr>
        <w:t>3.10 病案室、质控科、院感科、公卫科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2A7D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96BCC4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06937F2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415740E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41CBFC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3807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D19C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URS-EMR-01</w:t>
            </w:r>
          </w:p>
        </w:tc>
        <w:tc>
          <w:tcPr>
            <w:tcW w:w="2239" w:type="dxa"/>
          </w:tcPr>
          <w:p w14:paraId="21DDCB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病历修改逐字段留痕（旧值/新值/人/时间/原因），敏感字段在日志中掩码</w:t>
            </w:r>
          </w:p>
        </w:tc>
        <w:tc>
          <w:tcPr>
            <w:tcW w:w="2239" w:type="dxa"/>
          </w:tcPr>
          <w:p w14:paraId="04FD6B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124D0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FR-EMR-03，详设 12 章</w:t>
            </w:r>
          </w:p>
        </w:tc>
      </w:tr>
      <w:tr w14:paraId="6B8E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BDB4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URS-EMR-02</w:t>
            </w:r>
          </w:p>
        </w:tc>
        <w:tc>
          <w:tcPr>
            <w:tcW w:w="2239" w:type="dxa"/>
          </w:tcPr>
          <w:p w14:paraId="47CBA9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结构化率按文书类型分别统计、分母不混算，直接服务电子病历评级口径</w:t>
            </w:r>
          </w:p>
        </w:tc>
        <w:tc>
          <w:tcPr>
            <w:tcW w:w="2239" w:type="dxa"/>
          </w:tcPr>
          <w:p w14:paraId="7367E9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2BA7C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FR-EMR-04</w:t>
            </w:r>
          </w:p>
        </w:tc>
      </w:tr>
      <w:tr w14:paraId="23F5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20E3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URS-EMR-03</w:t>
            </w:r>
          </w:p>
        </w:tc>
        <w:tc>
          <w:tcPr>
            <w:tcW w:w="2239" w:type="dxa"/>
          </w:tcPr>
          <w:p w14:paraId="62D058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归档硬闸门：未编目、未质控通过不许归档；超期未归档自动催办</w:t>
            </w:r>
          </w:p>
        </w:tc>
        <w:tc>
          <w:tcPr>
            <w:tcW w:w="2239" w:type="dxa"/>
          </w:tcPr>
          <w:p w14:paraId="21DA83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640F6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FR-EMR-11</w:t>
            </w:r>
          </w:p>
        </w:tc>
      </w:tr>
      <w:tr w14:paraId="3931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0E49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URS-EMR-04</w:t>
            </w:r>
          </w:p>
        </w:tc>
        <w:tc>
          <w:tcPr>
            <w:tcW w:w="2239" w:type="dxa"/>
          </w:tcPr>
          <w:p w14:paraId="3B6E8F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借阅与复印两类申请分开审批；已封存病案原件不外借；超期未单独提醒且</w:t>
            </w:r>
            <w:r>
              <w:rPr>
                <w:rFonts w:ascii="Times New Roman" w:hAnsi="Times New Roman" w:eastAsia="黑体"/>
                <w:b/>
                <w:sz w:val="18"/>
              </w:rPr>
              <w:t>不重复打扰</w:t>
            </w:r>
          </w:p>
        </w:tc>
        <w:tc>
          <w:tcPr>
            <w:tcW w:w="2239" w:type="dxa"/>
          </w:tcPr>
          <w:p w14:paraId="73D3AA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D8B7A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FR-EMR-12</w:t>
            </w:r>
          </w:p>
        </w:tc>
      </w:tr>
      <w:tr w14:paraId="4763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9467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URS-EMR-05</w:t>
            </w:r>
          </w:p>
        </w:tc>
        <w:tc>
          <w:tcPr>
            <w:tcW w:w="2239" w:type="dxa"/>
          </w:tcPr>
          <w:p w14:paraId="68F48A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诊断 ICD-10、手术操作 ICD-9-CM-3，编码回写首页并驱动单病种纳入与统计上报</w:t>
            </w:r>
          </w:p>
        </w:tc>
        <w:tc>
          <w:tcPr>
            <w:tcW w:w="2239" w:type="dxa"/>
          </w:tcPr>
          <w:p w14:paraId="3E1923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A90F0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FR-EMR-13/14</w:t>
            </w:r>
          </w:p>
        </w:tc>
      </w:tr>
      <w:tr w14:paraId="5B86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6046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URS-EMR-06</w:t>
            </w:r>
          </w:p>
        </w:tc>
        <w:tc>
          <w:tcPr>
            <w:tcW w:w="2239" w:type="dxa"/>
          </w:tcPr>
          <w:p w14:paraId="59393D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质控三级流转（科级—院级），规则命中必须能定位到具体缺陷项，结论参与归档判定</w:t>
            </w:r>
          </w:p>
        </w:tc>
        <w:tc>
          <w:tcPr>
            <w:tcW w:w="2239" w:type="dxa"/>
          </w:tcPr>
          <w:p w14:paraId="08F29C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40DD9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FR-EMR-21/22/23</w:t>
            </w:r>
          </w:p>
        </w:tc>
      </w:tr>
      <w:tr w14:paraId="46F63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BF09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URS-EMR-07</w:t>
            </w:r>
          </w:p>
        </w:tc>
        <w:tc>
          <w:tcPr>
            <w:tcW w:w="2239" w:type="dxa"/>
          </w:tcPr>
          <w:p w14:paraId="06640E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不良事件上报闭环、传染病报告卡时限预警（甲类更短）、退报留痕</w:t>
            </w:r>
          </w:p>
        </w:tc>
        <w:tc>
          <w:tcPr>
            <w:tcW w:w="2239" w:type="dxa"/>
          </w:tcPr>
          <w:p w14:paraId="785A0A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B688C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FR-EMR-31/32</w:t>
            </w:r>
          </w:p>
        </w:tc>
      </w:tr>
      <w:tr w14:paraId="2D4BB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7FDE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URS-EMR-08</w:t>
            </w:r>
          </w:p>
        </w:tc>
        <w:tc>
          <w:tcPr>
            <w:tcW w:w="2239" w:type="dxa"/>
          </w:tcPr>
          <w:p w14:paraId="1F40FD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院感监测（感染卡、导管相关、手卫生）与漏报补报标记</w:t>
            </w:r>
          </w:p>
        </w:tc>
        <w:tc>
          <w:tcPr>
            <w:tcW w:w="2239" w:type="dxa"/>
          </w:tcPr>
          <w:p w14:paraId="67BD39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58C94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FR-EMR-33</w:t>
            </w:r>
          </w:p>
        </w:tc>
      </w:tr>
      <w:tr w14:paraId="6B2EB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EDC0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URS-EMR-09</w:t>
            </w:r>
          </w:p>
        </w:tc>
        <w:tc>
          <w:tcPr>
            <w:tcW w:w="2239" w:type="dxa"/>
          </w:tcPr>
          <w:p w14:paraId="6033E0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满意度：百分制服务端复算，低分自动转投诉并回填关联单号，作废必须填理由</w:t>
            </w:r>
          </w:p>
        </w:tc>
        <w:tc>
          <w:tcPr>
            <w:tcW w:w="2239" w:type="dxa"/>
          </w:tcPr>
          <w:p w14:paraId="38A4C6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39DF0D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FR-EMR-36/37</w:t>
            </w:r>
          </w:p>
        </w:tc>
      </w:tr>
    </w:tbl>
    <w:p w14:paraId="72421093">
      <w:pPr>
        <w:spacing w:after="40"/>
      </w:pPr>
    </w:p>
    <w:p w14:paraId="3847088B">
      <w:pPr>
        <w:pStyle w:val="4"/>
        <w:keepNext/>
        <w:spacing w:before="160" w:after="120"/>
      </w:pPr>
      <w:bookmarkStart w:id="21" w:name="_Toc16074"/>
      <w:r>
        <w:rPr>
          <w:rFonts w:ascii="Times New Roman" w:hAnsi="Times New Roman" w:eastAsia="黑体"/>
          <w:b/>
          <w:color w:val="000000"/>
          <w:sz w:val="27"/>
        </w:rPr>
        <w:t>3.11 患者与家属（小程序端）</w:t>
      </w:r>
      <w:bookmarkEnd w:id="21"/>
    </w:p>
    <w:p w14:paraId="3D0376BA">
      <w:r>
        <w:rPr>
          <w:rFonts w:ascii="Times New Roman" w:hAnsi="Times New Roman" w:eastAsia="黑体"/>
          <w:b/>
          <w:sz w:val="21"/>
        </w:rPr>
        <w:t>角色定位</w:t>
      </w:r>
      <w:r>
        <w:rPr>
          <w:rFonts w:ascii="Times New Roman" w:hAnsi="Times New Roman" w:eastAsia="宋体"/>
          <w:b w:val="0"/>
          <w:sz w:val="21"/>
        </w:rPr>
        <w:t>：唯一"不在院内登录"的用户群，诉求是少跑腿、少等待、看得懂。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4846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1CB5A4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498F6BD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415A159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7051ECA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6D61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1699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URS-PAT-11</w:t>
            </w:r>
          </w:p>
        </w:tc>
        <w:tc>
          <w:tcPr>
            <w:tcW w:w="2239" w:type="dxa"/>
          </w:tcPr>
          <w:p w14:paraId="6A8D37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手机上完成：登录绑定、预约、诊间缴费、预交金、报告/病历查询、排队进度、复诊开药、消息</w:t>
            </w:r>
          </w:p>
        </w:tc>
        <w:tc>
          <w:tcPr>
            <w:tcW w:w="2239" w:type="dxa"/>
          </w:tcPr>
          <w:p w14:paraId="456EF1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B4492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his-miniapp BFF，详设 22 章</w:t>
            </w:r>
          </w:p>
        </w:tc>
      </w:tr>
      <w:tr w14:paraId="2428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931E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URS-PAT-12</w:t>
            </w:r>
          </w:p>
        </w:tc>
        <w:tc>
          <w:tcPr>
            <w:tcW w:w="2239" w:type="dxa"/>
          </w:tcPr>
          <w:p w14:paraId="0288D8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报告必须"发布"后才在患者端可见，不看到过程稿</w:t>
            </w:r>
          </w:p>
        </w:tc>
        <w:tc>
          <w:tcPr>
            <w:tcW w:w="2239" w:type="dxa"/>
          </w:tcPr>
          <w:p w14:paraId="4CB0E2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E78F3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FR-MT-04</w:t>
            </w:r>
          </w:p>
        </w:tc>
      </w:tr>
      <w:tr w14:paraId="15E5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7273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URS-PAT-13</w:t>
            </w:r>
          </w:p>
        </w:tc>
        <w:tc>
          <w:tcPr>
            <w:tcW w:w="2239" w:type="dxa"/>
          </w:tcPr>
          <w:p w14:paraId="01D8FA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缴费前能预估医保报销（同 3.2 前台口径）</w:t>
            </w:r>
          </w:p>
        </w:tc>
        <w:tc>
          <w:tcPr>
            <w:tcW w:w="2239" w:type="dxa"/>
          </w:tcPr>
          <w:p w14:paraId="094F5A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0291FF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FR-OPD-15</w:t>
            </w:r>
          </w:p>
        </w:tc>
      </w:tr>
      <w:tr w14:paraId="0704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9F93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URS-PAT-14</w:t>
            </w:r>
          </w:p>
        </w:tc>
        <w:tc>
          <w:tcPr>
            <w:tcW w:w="2239" w:type="dxa"/>
          </w:tcPr>
          <w:p w14:paraId="7D9E61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远程会诊/线上问诊作为延伸，费用只记价目快照、真实结算在收费域</w:t>
            </w:r>
          </w:p>
        </w:tc>
        <w:tc>
          <w:tcPr>
            <w:tcW w:w="2239" w:type="dxa"/>
          </w:tcPr>
          <w:p w14:paraId="39C98F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5B707D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FR-TEL-01/02/03</w:t>
            </w:r>
          </w:p>
        </w:tc>
      </w:tr>
      <w:tr w14:paraId="10F2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8024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URS-PAT-15</w:t>
            </w:r>
          </w:p>
        </w:tc>
        <w:tc>
          <w:tcPr>
            <w:tcW w:w="2239" w:type="dxa"/>
          </w:tcPr>
          <w:p w14:paraId="74CD93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体检个检/团检、套餐按性别等约束可选</w:t>
            </w:r>
          </w:p>
        </w:tc>
        <w:tc>
          <w:tcPr>
            <w:tcW w:w="2239" w:type="dxa"/>
          </w:tcPr>
          <w:p w14:paraId="313897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4D0008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FR-CHK-01/02</w:t>
            </w:r>
          </w:p>
        </w:tc>
      </w:tr>
      <w:tr w14:paraId="33D7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6A94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URS-PAT-16</w:t>
            </w:r>
          </w:p>
        </w:tc>
        <w:tc>
          <w:tcPr>
            <w:tcW w:w="2239" w:type="dxa"/>
          </w:tcPr>
          <w:p w14:paraId="015138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我收到的满意度/随访短信不被重复轰炸（发放幂等键）</w:t>
            </w:r>
          </w:p>
        </w:tc>
        <w:tc>
          <w:tcPr>
            <w:tcW w:w="2239" w:type="dxa"/>
          </w:tcPr>
          <w:p w14:paraId="2E0AAE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7C11B7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FR-EMR-37</w:t>
            </w:r>
          </w:p>
        </w:tc>
      </w:tr>
    </w:tbl>
    <w:p w14:paraId="5FAE02F5">
      <w:pPr>
        <w:spacing w:after="40"/>
      </w:pPr>
    </w:p>
    <w:p w14:paraId="6B8CACEF">
      <w:pPr>
        <w:pStyle w:val="4"/>
        <w:keepNext/>
        <w:spacing w:before="160" w:after="120"/>
      </w:pPr>
      <w:bookmarkStart w:id="22" w:name="_Toc25240"/>
      <w:r>
        <w:rPr>
          <w:rFonts w:ascii="Times New Roman" w:hAnsi="Times New Roman" w:eastAsia="黑体"/>
          <w:b/>
          <w:color w:val="000000"/>
          <w:sz w:val="27"/>
        </w:rPr>
        <w:t>3.12 患者主档与档案岗（病案/登记窗口）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750C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320EFB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46F8EA6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117A8B0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2260ADF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53F8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94AE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URS-PAT-01</w:t>
            </w:r>
          </w:p>
        </w:tc>
        <w:tc>
          <w:tcPr>
            <w:tcW w:w="2239" w:type="dxa"/>
          </w:tcPr>
          <w:p w14:paraId="0183F4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建档身份证按国标校验位算法校验（见 5.9 铺底口径）</w:t>
            </w:r>
          </w:p>
        </w:tc>
        <w:tc>
          <w:tcPr>
            <w:tcW w:w="2239" w:type="dxa"/>
          </w:tcPr>
          <w:p w14:paraId="6EFA7D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A88C2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FR-PAT-01，详设 14 章</w:t>
            </w:r>
          </w:p>
        </w:tc>
      </w:tr>
      <w:tr w14:paraId="659E1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8356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URS-PAT-02</w:t>
            </w:r>
          </w:p>
        </w:tc>
        <w:tc>
          <w:tcPr>
            <w:tcW w:w="2239" w:type="dxa"/>
          </w:tcPr>
          <w:p w14:paraId="75CB77C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编辑回显走明文接口、展示走脱敏接口，两条路不得混用</w:t>
            </w:r>
            <w:r>
              <w:rPr>
                <w:rFonts w:ascii="Times New Roman" w:hAnsi="Times New Roman" w:eastAsia="宋体"/>
                <w:b w:val="0"/>
                <w:sz w:val="18"/>
              </w:rPr>
              <w:t>——否则下一次保存把真号洗成星号（见 5.5）</w:t>
            </w:r>
          </w:p>
        </w:tc>
        <w:tc>
          <w:tcPr>
            <w:tcW w:w="2239" w:type="dxa"/>
          </w:tcPr>
          <w:p w14:paraId="124769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6ACD5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FR-PAT-02</w:t>
            </w:r>
          </w:p>
        </w:tc>
      </w:tr>
      <w:tr w14:paraId="520F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77D8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URS-PAT-03</w:t>
            </w:r>
          </w:p>
        </w:tc>
        <w:tc>
          <w:tcPr>
            <w:tcW w:w="2239" w:type="dxa"/>
          </w:tcPr>
          <w:p w14:paraId="754B6F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重复档案由主索引给候选、人工确认关联，不自动合并；合并可撤销留日志</w:t>
            </w:r>
          </w:p>
        </w:tc>
        <w:tc>
          <w:tcPr>
            <w:tcW w:w="2239" w:type="dxa"/>
          </w:tcPr>
          <w:p w14:paraId="50A777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04B61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FR-PAT-03</w:t>
            </w:r>
          </w:p>
        </w:tc>
      </w:tr>
      <w:tr w14:paraId="7145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A5A1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URS-PAT-04</w:t>
            </w:r>
          </w:p>
        </w:tc>
        <w:tc>
          <w:tcPr>
            <w:tcW w:w="2239" w:type="dxa"/>
          </w:tcPr>
          <w:p w14:paraId="20CEA6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健康档案六组纵向数据一次读齐并回算主档投影，投影列不许前端直写</w:t>
            </w:r>
          </w:p>
        </w:tc>
        <w:tc>
          <w:tcPr>
            <w:tcW w:w="2239" w:type="dxa"/>
          </w:tcPr>
          <w:p w14:paraId="146599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DD057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FR-PAT-04/05</w:t>
            </w:r>
          </w:p>
        </w:tc>
      </w:tr>
      <w:tr w14:paraId="37E1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AE2B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URS-PAT-05</w:t>
            </w:r>
          </w:p>
        </w:tc>
        <w:tc>
          <w:tcPr>
            <w:tcW w:w="2239" w:type="dxa"/>
          </w:tcPr>
          <w:p w14:paraId="45ED70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 360 按时间轴还原就诊/医嘱/病历/报告/费用全脉络</w:t>
            </w:r>
          </w:p>
        </w:tc>
        <w:tc>
          <w:tcPr>
            <w:tcW w:w="2239" w:type="dxa"/>
          </w:tcPr>
          <w:p w14:paraId="1BA3E3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085D5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FR-PAT-08/10</w:t>
            </w:r>
          </w:p>
        </w:tc>
      </w:tr>
      <w:tr w14:paraId="338E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1F0D3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URS-PAT-06</w:t>
            </w:r>
          </w:p>
        </w:tc>
        <w:tc>
          <w:tcPr>
            <w:tcW w:w="2239" w:type="dxa"/>
          </w:tcPr>
          <w:p w14:paraId="16661D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全景按岗位裁剪：收费员、药剂师看不到诊断与病历原文</w:t>
            </w:r>
          </w:p>
        </w:tc>
        <w:tc>
          <w:tcPr>
            <w:tcW w:w="2239" w:type="dxa"/>
          </w:tcPr>
          <w:p w14:paraId="591E8F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3F3FE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FR-PAT-09</w:t>
            </w:r>
          </w:p>
        </w:tc>
      </w:tr>
      <w:tr w14:paraId="6064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8EC9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URS-PAT-07</w:t>
            </w:r>
          </w:p>
        </w:tc>
        <w:tc>
          <w:tcPr>
            <w:tcW w:w="2239" w:type="dxa"/>
          </w:tcPr>
          <w:p w14:paraId="0E7641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谁看了哪个患者的档案全留审计日志，只读可导出不可删</w:t>
            </w:r>
          </w:p>
        </w:tc>
        <w:tc>
          <w:tcPr>
            <w:tcW w:w="2239" w:type="dxa"/>
          </w:tcPr>
          <w:p w14:paraId="2439B8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511AA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FR-PAT-11</w:t>
            </w:r>
          </w:p>
        </w:tc>
      </w:tr>
    </w:tbl>
    <w:p w14:paraId="0BF5402A">
      <w:pPr>
        <w:spacing w:after="40"/>
      </w:pPr>
    </w:p>
    <w:p w14:paraId="0DD98F50">
      <w:pPr>
        <w:pStyle w:val="4"/>
        <w:keepNext/>
        <w:spacing w:before="160" w:after="120"/>
      </w:pPr>
      <w:bookmarkStart w:id="23" w:name="_Toc29826"/>
      <w:r>
        <w:rPr>
          <w:rFonts w:ascii="Times New Roman" w:hAnsi="Times New Roman" w:eastAsia="黑体"/>
          <w:b/>
          <w:color w:val="000000"/>
          <w:sz w:val="27"/>
        </w:rPr>
        <w:t>3.13 物资、设备科与总务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2E73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0B7633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2F169DA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0C045C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7453654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590A3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D44B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URS-AST-01</w:t>
            </w:r>
          </w:p>
        </w:tc>
        <w:tc>
          <w:tcPr>
            <w:tcW w:w="2239" w:type="dxa"/>
          </w:tcPr>
          <w:p w14:paraId="612206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耗材与药品两本库存账相互独立；高值耗材使用登记关联患者、扣一件、尝试计费，</w:t>
            </w:r>
            <w:r>
              <w:rPr>
                <w:rFonts w:ascii="Times New Roman" w:hAnsi="Times New Roman" w:eastAsia="黑体"/>
                <w:b/>
                <w:sz w:val="18"/>
              </w:rPr>
              <w:t>计费失败留痕可重走、不得静默丢失</w:t>
            </w:r>
          </w:p>
        </w:tc>
        <w:tc>
          <w:tcPr>
            <w:tcW w:w="2239" w:type="dxa"/>
          </w:tcPr>
          <w:p w14:paraId="22B2EF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2FF6B3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FR-AST-02/04，详设 16 章</w:t>
            </w:r>
          </w:p>
        </w:tc>
      </w:tr>
      <w:tr w14:paraId="5C66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3DB2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URS-AST-02</w:t>
            </w:r>
          </w:p>
        </w:tc>
        <w:tc>
          <w:tcPr>
            <w:tcW w:w="2239" w:type="dxa"/>
          </w:tcPr>
          <w:p w14:paraId="42A406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UDI 扫码解析出产品标识/序列号/批号/有效期并命中字典</w:t>
            </w:r>
          </w:p>
        </w:tc>
        <w:tc>
          <w:tcPr>
            <w:tcW w:w="2239" w:type="dxa"/>
          </w:tcPr>
          <w:p w14:paraId="2E1B2B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3BE3BB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FR-AST-03</w:t>
            </w:r>
          </w:p>
        </w:tc>
      </w:tr>
      <w:tr w14:paraId="7ACA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36B5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URS-AST-03</w:t>
            </w:r>
          </w:p>
        </w:tc>
        <w:tc>
          <w:tcPr>
            <w:tcW w:w="2239" w:type="dxa"/>
          </w:tcPr>
          <w:p w14:paraId="6551C9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溯源正反两条链（批次↔患者）；溯源作废即退货回库，已计费的拒绝作废</w:t>
            </w:r>
          </w:p>
        </w:tc>
        <w:tc>
          <w:tcPr>
            <w:tcW w:w="2239" w:type="dxa"/>
          </w:tcPr>
          <w:p w14:paraId="58E09F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74D06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FR-AST-05</w:t>
            </w:r>
          </w:p>
        </w:tc>
      </w:tr>
      <w:tr w14:paraId="1DBF9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3B55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URS-AST-04</w:t>
            </w:r>
          </w:p>
        </w:tc>
        <w:tc>
          <w:tcPr>
            <w:tcW w:w="2239" w:type="dxa"/>
          </w:tcPr>
          <w:p w14:paraId="2F3B7E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计量强检与校准到期在台账上显著提示（过期亮红），避免使用未检定设备</w:t>
            </w:r>
          </w:p>
        </w:tc>
        <w:tc>
          <w:tcPr>
            <w:tcW w:w="2239" w:type="dxa"/>
          </w:tcPr>
          <w:p w14:paraId="2D93CA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2FABA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FR-AST-07</w:t>
            </w:r>
          </w:p>
        </w:tc>
      </w:tr>
      <w:tr w14:paraId="33B6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5AE8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URS-AST-05</w:t>
            </w:r>
          </w:p>
        </w:tc>
        <w:tc>
          <w:tcPr>
            <w:tcW w:w="2239" w:type="dxa"/>
          </w:tcPr>
          <w:p w14:paraId="75AEEB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消毒供应按回收—清洗—打包—灭菌—发放追溯；医废按登记链管理</w:t>
            </w:r>
          </w:p>
        </w:tc>
        <w:tc>
          <w:tcPr>
            <w:tcW w:w="2239" w:type="dxa"/>
          </w:tcPr>
          <w:p w14:paraId="2244D0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472F2D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FR-AST-08/10</w:t>
            </w:r>
          </w:p>
        </w:tc>
      </w:tr>
    </w:tbl>
    <w:p w14:paraId="1A511D19">
      <w:pPr>
        <w:spacing w:after="40"/>
      </w:pPr>
    </w:p>
    <w:p w14:paraId="404B17F7">
      <w:pPr>
        <w:pStyle w:val="4"/>
        <w:keepNext/>
        <w:spacing w:before="160" w:after="120"/>
      </w:pPr>
      <w:bookmarkStart w:id="24" w:name="_Toc18549"/>
      <w:r>
        <w:rPr>
          <w:rFonts w:ascii="Times New Roman" w:hAnsi="Times New Roman" w:eastAsia="黑体"/>
          <w:b/>
          <w:color w:val="000000"/>
          <w:sz w:val="27"/>
        </w:rPr>
        <w:t>3.14 总值班与各科室二线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78C5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42DFCB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3DE3FE1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5D2146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3633C09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089F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17BC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URS-ORG-01</w:t>
            </w:r>
          </w:p>
        </w:tc>
        <w:tc>
          <w:tcPr>
            <w:tcW w:w="2239" w:type="dxa"/>
          </w:tcPr>
          <w:p w14:paraId="361DBC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全院总值班按周排班、支持临时换班且保留原排班人痕迹；"今日总值班"对所有登录岗位可见</w:t>
            </w:r>
          </w:p>
        </w:tc>
        <w:tc>
          <w:tcPr>
            <w:tcW w:w="2239" w:type="dxa"/>
          </w:tcPr>
          <w:p w14:paraId="7D34A5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CE443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FR-ORG-09，详设 15 章</w:t>
            </w:r>
          </w:p>
        </w:tc>
      </w:tr>
      <w:tr w14:paraId="6264D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D3A1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URS-ORG-02</w:t>
            </w:r>
          </w:p>
        </w:tc>
        <w:tc>
          <w:tcPr>
            <w:tcW w:w="2239" w:type="dxa"/>
          </w:tcPr>
          <w:p w14:paraId="5340D4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等床超时、转诊待确认、死亡证明超期、危急值超时等跨域事件</w:t>
            </w:r>
            <w:r>
              <w:rPr>
                <w:rFonts w:ascii="Times New Roman" w:hAnsi="Times New Roman" w:eastAsia="黑体"/>
                <w:b/>
                <w:sz w:val="18"/>
              </w:rPr>
              <w:t>统一升级到当日总值班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，同一事件对同一人只催一次</w:t>
            </w:r>
          </w:p>
        </w:tc>
        <w:tc>
          <w:tcPr>
            <w:tcW w:w="2239" w:type="dxa"/>
          </w:tcPr>
          <w:p w14:paraId="55CBB7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366E41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FR-ORG-11</w:t>
            </w:r>
          </w:p>
        </w:tc>
      </w:tr>
      <w:tr w14:paraId="3F284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EEB5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URS-ORG-03</w:t>
            </w:r>
          </w:p>
        </w:tc>
        <w:tc>
          <w:tcPr>
            <w:tcW w:w="2239" w:type="dxa"/>
          </w:tcPr>
          <w:p w14:paraId="7C9CB2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值班日志按班次记录与签收，接班人打开就看到本人待办；日志是全院当天问题的唯一交接待办来源</w:t>
            </w:r>
          </w:p>
        </w:tc>
        <w:tc>
          <w:tcPr>
            <w:tcW w:w="2239" w:type="dxa"/>
          </w:tcPr>
          <w:p w14:paraId="3990DE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61D41D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FR-ORG-10</w:t>
            </w:r>
          </w:p>
        </w:tc>
      </w:tr>
    </w:tbl>
    <w:p w14:paraId="222A5517">
      <w:pPr>
        <w:spacing w:after="40"/>
      </w:pPr>
    </w:p>
    <w:p w14:paraId="03CB51BF">
      <w:pPr>
        <w:pStyle w:val="4"/>
        <w:keepNext/>
        <w:spacing w:before="160" w:after="120"/>
      </w:pPr>
      <w:bookmarkStart w:id="25" w:name="_Toc27255"/>
      <w:r>
        <w:rPr>
          <w:rFonts w:ascii="Times New Roman" w:hAnsi="Times New Roman" w:eastAsia="黑体"/>
          <w:b/>
          <w:color w:val="000000"/>
          <w:sz w:val="27"/>
        </w:rPr>
        <w:t>3.15 人事与组织管理岗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7C33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626D16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6C4C6B9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71D6A0C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7BAE471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7689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1B10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URS-ORG-04</w:t>
            </w:r>
          </w:p>
        </w:tc>
        <w:tc>
          <w:tcPr>
            <w:tcW w:w="2239" w:type="dxa"/>
          </w:tcPr>
          <w:p w14:paraId="701C24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员工档案覆盖工号到专家号费用全要素；资格证书多条独立登记、技术授权台账含审核状态</w:t>
            </w:r>
          </w:p>
        </w:tc>
        <w:tc>
          <w:tcPr>
            <w:tcW w:w="2239" w:type="dxa"/>
          </w:tcPr>
          <w:p w14:paraId="7F20BA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948FE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FR-ORG-03/04，详设 15 章</w:t>
            </w:r>
          </w:p>
        </w:tc>
      </w:tr>
      <w:tr w14:paraId="4C833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E299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URS-ORG-05</w:t>
            </w:r>
          </w:p>
        </w:tc>
        <w:tc>
          <w:tcPr>
            <w:tcW w:w="2239" w:type="dxa"/>
          </w:tcPr>
          <w:p w14:paraId="128E18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身份 = 岗位（角色 × 科室）</w:t>
            </w:r>
            <w:r>
              <w:rPr>
                <w:rFonts w:ascii="Times New Roman" w:hAnsi="Times New Roman" w:eastAsia="宋体"/>
                <w:b w:val="0"/>
                <w:sz w:val="18"/>
              </w:rPr>
              <w:t>：「在骨科是医生」不代表「在康复科也是医生」；每个人恰好一条主岗位——主岗位是人事定位，一人多条主岗位曾让管理员排出一排"主岗位"，人事没有这个概念（见 5.4）</w:t>
            </w:r>
          </w:p>
        </w:tc>
        <w:tc>
          <w:tcPr>
            <w:tcW w:w="2239" w:type="dxa"/>
          </w:tcPr>
          <w:p w14:paraId="307915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3AF51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FR-ORG-05、详设 15/20 章</w:t>
            </w:r>
          </w:p>
        </w:tc>
      </w:tr>
      <w:tr w14:paraId="7517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3785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URS-ORG-06</w:t>
            </w:r>
          </w:p>
        </w:tc>
        <w:tc>
          <w:tcPr>
            <w:tcW w:w="2239" w:type="dxa"/>
          </w:tcPr>
          <w:p w14:paraId="459EB3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岗位配置表行数不可控（实测 1692 行），必须分页 + 渲染上限，</w:t>
            </w:r>
            <w:r>
              <w:rPr>
                <w:rFonts w:ascii="Times New Roman" w:hAnsi="Times New Roman" w:eastAsia="黑体"/>
                <w:b/>
                <w:sz w:val="18"/>
              </w:rPr>
              <w:t>靠翻页看不加搜索框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（用户 2026-09-25 明确要求撤掉过滤框）</w:t>
            </w:r>
          </w:p>
        </w:tc>
        <w:tc>
          <w:tcPr>
            <w:tcW w:w="2239" w:type="dxa"/>
          </w:tcPr>
          <w:p w14:paraId="0BFF94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AD5C0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FR-ORG-06，详设 15 章</w:t>
            </w:r>
          </w:p>
        </w:tc>
      </w:tr>
      <w:tr w14:paraId="4E634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487C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URS-ORG-07</w:t>
            </w:r>
          </w:p>
        </w:tc>
        <w:tc>
          <w:tcPr>
            <w:tcW w:w="2239" w:type="dxa"/>
          </w:tcPr>
          <w:p w14:paraId="676F85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主岗位开关用可自由勾选的 checkbox（radio 点掉一条就得先选别的，实测反直觉）；一条都没勾时保存前拦住并提示</w:t>
            </w:r>
          </w:p>
        </w:tc>
        <w:tc>
          <w:tcPr>
            <w:tcW w:w="2239" w:type="dxa"/>
          </w:tcPr>
          <w:p w14:paraId="7F9F60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EC52F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FR-ORG-06</w:t>
            </w:r>
          </w:p>
        </w:tc>
      </w:tr>
      <w:tr w14:paraId="5C3A1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5D3B9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URS-ORG-08</w:t>
            </w:r>
          </w:p>
        </w:tc>
        <w:tc>
          <w:tcPr>
            <w:tcW w:w="2239" w:type="dxa"/>
          </w:tcPr>
          <w:p w14:paraId="011B21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停用/启用员工不许顺带清空岗位：</w:t>
            </w:r>
            <w:r>
              <w:rPr>
                <w:rFonts w:ascii="Consolas" w:hAnsi="Consolas" w:eastAsia="Consolas"/>
                <w:b w:val="0"/>
                <w:sz w:val="17"/>
              </w:rPr>
              <w:t>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传 </w:t>
            </w:r>
            <w:r>
              <w:rPr>
                <w:rFonts w:ascii="Consolas" w:hAnsi="Consolas" w:eastAsia="Consolas"/>
                <w:b w:val="0"/>
                <w:sz w:val="17"/>
              </w:rPr>
              <w:t>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（没提交）与 </w:t>
            </w:r>
            <w:r>
              <w:rPr>
                <w:rFonts w:ascii="Consolas" w:hAnsi="Consolas" w:eastAsia="Consolas"/>
                <w:b w:val="0"/>
                <w:sz w:val="17"/>
              </w:rPr>
              <w:t>[]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（显式清空）是两件事</w:t>
            </w:r>
          </w:p>
        </w:tc>
        <w:tc>
          <w:tcPr>
            <w:tcW w:w="2239" w:type="dxa"/>
          </w:tcPr>
          <w:p w14:paraId="3BE9B1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610CD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详设 15/20 章不变量</w:t>
            </w:r>
          </w:p>
        </w:tc>
      </w:tr>
      <w:tr w14:paraId="2FFC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C541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URS-ORG-09</w:t>
            </w:r>
          </w:p>
        </w:tc>
        <w:tc>
          <w:tcPr>
            <w:tcW w:w="2239" w:type="dxa"/>
          </w:tcPr>
          <w:p w14:paraId="5CD69E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出诊排班支持周模板套用、临时补班、停诊带影响名单批量退号、加号留痕、今日在岗判定（跨零点夜班按覆盖判定）</w:t>
            </w:r>
          </w:p>
        </w:tc>
        <w:tc>
          <w:tcPr>
            <w:tcW w:w="2239" w:type="dxa"/>
          </w:tcPr>
          <w:p w14:paraId="4721E9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D917E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FR-ORG-07/08</w:t>
            </w:r>
          </w:p>
        </w:tc>
      </w:tr>
    </w:tbl>
    <w:p w14:paraId="78BFD17E">
      <w:pPr>
        <w:spacing w:after="40"/>
      </w:pPr>
    </w:p>
    <w:p w14:paraId="749636F2">
      <w:pPr>
        <w:pStyle w:val="4"/>
        <w:keepNext/>
        <w:spacing w:before="160" w:after="120"/>
      </w:pPr>
      <w:bookmarkStart w:id="26" w:name="_Toc14867"/>
      <w:r>
        <w:rPr>
          <w:rFonts w:ascii="Times New Roman" w:hAnsi="Times New Roman" w:eastAsia="黑体"/>
          <w:b/>
          <w:color w:val="000000"/>
          <w:sz w:val="27"/>
        </w:rPr>
        <w:t>3.16 系统管理员与信息科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4C4E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DBBEDA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5119CD8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4E710E4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w="2239" w:type="dxa"/>
            <w:shd w:val="clear" w:color="auto" w:fill="E8EEF5"/>
          </w:tcPr>
          <w:p w14:paraId="757639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18B5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4A30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URS-SYS-01</w:t>
            </w:r>
          </w:p>
        </w:tc>
        <w:tc>
          <w:tcPr>
            <w:tcW w:w="2239" w:type="dxa"/>
          </w:tcPr>
          <w:p w14:paraId="405D2F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账号必须绑定员工与岗位后才获得业务身份；角色按勾选菜单授权，变更后权限缓存立即失效</w:t>
            </w:r>
          </w:p>
        </w:tc>
        <w:tc>
          <w:tcPr>
            <w:tcW w:w="2239" w:type="dxa"/>
          </w:tcPr>
          <w:p w14:paraId="005A5B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0229BE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FR-SYS-01/02，详设 20 章</w:t>
            </w:r>
          </w:p>
        </w:tc>
      </w:tr>
      <w:tr w14:paraId="4B9C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3941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URS-SYS-02</w:t>
            </w:r>
          </w:p>
        </w:tc>
        <w:tc>
          <w:tcPr>
            <w:tcW w:w="2239" w:type="dxa"/>
          </w:tcPr>
          <w:p w14:paraId="227482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页面路由与菜单地址逐字一致，否则"菜单可点而页面白屏"</w:t>
            </w:r>
          </w:p>
        </w:tc>
        <w:tc>
          <w:tcPr>
            <w:tcW w:w="2239" w:type="dxa"/>
          </w:tcPr>
          <w:p w14:paraId="5702C5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878E9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FR-SYS-03</w:t>
            </w:r>
          </w:p>
        </w:tc>
      </w:tr>
      <w:tr w14:paraId="2152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AAB6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URS-SYS-03</w:t>
            </w:r>
          </w:p>
        </w:tc>
        <w:tc>
          <w:tcPr>
            <w:tcW w:w="2239" w:type="dxa"/>
          </w:tcPr>
          <w:p w14:paraId="30AE9C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通用参照数据（科室/字典/药品/项目/ICD 下拉）不配权限码只要求登录；权限码只留给本页面独有业务数据（见 5.2）</w:t>
            </w:r>
          </w:p>
        </w:tc>
        <w:tc>
          <w:tcPr>
            <w:tcW w:w="2239" w:type="dxa"/>
          </w:tcPr>
          <w:p w14:paraId="3034E2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1F3715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FR-SYS-05</w:t>
            </w:r>
          </w:p>
        </w:tc>
      </w:tr>
      <w:tr w14:paraId="5280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5924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URS-SYS-04</w:t>
            </w:r>
          </w:p>
        </w:tc>
        <w:tc>
          <w:tcPr>
            <w:tcW w:w="2239" w:type="dxa"/>
          </w:tcPr>
          <w:p w14:paraId="455700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字典两级维护走缓存、权威定义在服务端枚举；医院基础信息由参数集中配置供 Web 与小程序共用</w:t>
            </w:r>
          </w:p>
        </w:tc>
        <w:tc>
          <w:tcPr>
            <w:tcW w:w="2239" w:type="dxa"/>
          </w:tcPr>
          <w:p w14:paraId="54A4C7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81FD1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FR-SYS-06/07</w:t>
            </w:r>
          </w:p>
        </w:tc>
      </w:tr>
      <w:tr w14:paraId="0D31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54E80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URS-SYS-05</w:t>
            </w:r>
          </w:p>
        </w:tc>
        <w:tc>
          <w:tcPr>
            <w:tcW w:w="2239" w:type="dxa"/>
          </w:tcPr>
          <w:p w14:paraId="057D80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日志三本账 + 字段级修改日志：一律只读可导出不提供删除；操作日志落库失败不许影响业务本身</w:t>
            </w:r>
          </w:p>
        </w:tc>
        <w:tc>
          <w:tcPr>
            <w:tcW w:w="2239" w:type="dxa"/>
          </w:tcPr>
          <w:p w14:paraId="42E73E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557EFF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FR-SYS-08/09</w:t>
            </w:r>
          </w:p>
        </w:tc>
      </w:tr>
      <w:tr w14:paraId="35BA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F5D6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URS-SYS-06</w:t>
            </w:r>
          </w:p>
        </w:tc>
        <w:tc>
          <w:tcPr>
            <w:tcW w:w="2239" w:type="dxa"/>
          </w:tcPr>
          <w:p w14:paraId="06DD2D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签名中心覆盖登记、补签、验签、作废与覆盖率统计；证书配置为外部权威机构但未真正接入时</w:t>
            </w:r>
            <w:r>
              <w:rPr>
                <w:rFonts w:ascii="Times New Roman" w:hAnsi="Times New Roman" w:eastAsia="黑体"/>
                <w:b/>
                <w:sz w:val="18"/>
              </w:rPr>
              <w:t>必须中断签发，禁止静默回退自签</w:t>
            </w:r>
          </w:p>
        </w:tc>
        <w:tc>
          <w:tcPr>
            <w:tcW w:w="2239" w:type="dxa"/>
          </w:tcPr>
          <w:p w14:paraId="0ECAA7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w="2239" w:type="dxa"/>
          </w:tcPr>
          <w:p w14:paraId="70FB7D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FR-SYS-12/13</w:t>
            </w:r>
          </w:p>
        </w:tc>
      </w:tr>
      <w:tr w14:paraId="6AD7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91C7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URS-SYS-07</w:t>
            </w:r>
          </w:p>
        </w:tc>
        <w:tc>
          <w:tcPr>
            <w:tcW w:w="2239" w:type="dxa"/>
          </w:tcPr>
          <w:p w14:paraId="156B51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启动期扫描无权限注解的接口并告警（只提示不阻断），作为权限覆盖率护栏</w:t>
            </w:r>
          </w:p>
        </w:tc>
        <w:tc>
          <w:tcPr>
            <w:tcW w:w="2239" w:type="dxa"/>
          </w:tcPr>
          <w:p w14:paraId="622A81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w="2239" w:type="dxa"/>
          </w:tcPr>
          <w:p w14:paraId="60DB53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FR-SYS-11</w:t>
            </w:r>
          </w:p>
        </w:tc>
      </w:tr>
    </w:tbl>
    <w:p w14:paraId="16FD4C4D">
      <w:pPr>
        <w:spacing w:after="40"/>
      </w:pPr>
    </w:p>
    <w:p w14:paraId="7E47870C">
      <w:pPr>
        <w:pStyle w:val="3"/>
        <w:keepNext/>
        <w:spacing w:before="240" w:after="120"/>
      </w:pPr>
      <w:bookmarkStart w:id="27" w:name="_Toc15561"/>
      <w:r>
        <w:rPr>
          <w:rFonts w:ascii="Times New Roman" w:hAnsi="Times New Roman" w:eastAsia="黑体"/>
          <w:b/>
          <w:color w:val="000000"/>
          <w:sz w:val="32"/>
        </w:rPr>
        <w:t>4 跨角色共性诉求（全站口径，用户已拍板）</w:t>
      </w:r>
      <w:bookmarkEnd w:id="27"/>
    </w:p>
    <w:p w14:paraId="001483C2">
      <w:r>
        <w:rPr>
          <w:rFonts w:ascii="Times New Roman" w:hAnsi="Times New Roman" w:eastAsia="宋体"/>
          <w:b w:val="0"/>
          <w:sz w:val="21"/>
        </w:rPr>
        <w:t>这些诉求不属于某一角色，而是所有岗位共同提出的体验与效率底线，已固化为全站规范：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9"/>
        <w:gridCol w:w="2733"/>
        <w:gridCol w:w="2169"/>
      </w:tblGrid>
      <w:tr w14:paraId="7AC7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466E6A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767193A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共性诉求</w:t>
            </w:r>
          </w:p>
        </w:tc>
        <w:tc>
          <w:tcPr>
            <w:tcW w:w="2239" w:type="dxa"/>
            <w:shd w:val="clear" w:color="auto" w:fill="E8EEF5"/>
          </w:tcPr>
          <w:p w14:paraId="5C2A146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口径</w:t>
            </w:r>
          </w:p>
        </w:tc>
        <w:tc>
          <w:tcPr>
            <w:tcW w:w="2239" w:type="dxa"/>
            <w:shd w:val="clear" w:color="auto" w:fill="E8EEF5"/>
          </w:tcPr>
          <w:p w14:paraId="6C151BC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依据</w:t>
            </w:r>
          </w:p>
        </w:tc>
      </w:tr>
      <w:tr w14:paraId="4F81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08CA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URS-COM-01</w:t>
            </w:r>
          </w:p>
        </w:tc>
        <w:tc>
          <w:tcPr>
            <w:tcW w:w="2239" w:type="dxa"/>
          </w:tcPr>
          <w:p w14:paraId="4B6189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菜单有主次：高频作业在前、配置沉底，同角色两次登录侧栏顺序一致</w:t>
            </w:r>
          </w:p>
        </w:tc>
        <w:tc>
          <w:tcPr>
            <w:tcW w:w="2239" w:type="dxa"/>
          </w:tcPr>
          <w:p w14:paraId="7E06E1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一级患者流转主线 + 二级三段式；排序有唯一兜底键</w:t>
            </w:r>
          </w:p>
        </w:tc>
        <w:tc>
          <w:tcPr>
            <w:tcW w:w="2239" w:type="dxa"/>
          </w:tcPr>
          <w:p w14:paraId="6B4D8D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2026-09-29 用户批准，sql/196</w:t>
            </w:r>
          </w:p>
        </w:tc>
      </w:tr>
      <w:tr w14:paraId="497DD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2AB4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URS-COM-02</w:t>
            </w:r>
          </w:p>
        </w:tc>
        <w:tc>
          <w:tcPr>
            <w:tcW w:w="2239" w:type="dxa"/>
          </w:tcPr>
          <w:p w14:paraId="510EF2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分页只有两个旋钮，全站统一改一处生效</w:t>
            </w:r>
          </w:p>
        </w:tc>
        <w:tc>
          <w:tcPr>
            <w:tcW w:w="2239" w:type="dxa"/>
          </w:tcPr>
          <w:p w14:paraId="1D35BB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PAGE_SIZES=[10,20,50,100]</w:t>
            </w:r>
            <w:r>
              <w:rPr>
                <w:rFonts w:ascii="Times New Roman" w:hAnsi="Times New Roman" w:eastAsia="宋体"/>
                <w:b w:val="0"/>
                <w:sz w:val="18"/>
              </w:rPr>
              <w:t>、默认 10，页面禁写字面量</w:t>
            </w:r>
          </w:p>
        </w:tc>
        <w:tc>
          <w:tcPr>
            <w:tcW w:w="2239" w:type="dxa"/>
          </w:tcPr>
          <w:p w14:paraId="29D9E1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§2</w:t>
            </w:r>
          </w:p>
        </w:tc>
      </w:tr>
      <w:tr w14:paraId="1364C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2A54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URS-COM-03</w:t>
            </w:r>
          </w:p>
        </w:tc>
        <w:tc>
          <w:tcPr>
            <w:tcW w:w="2239" w:type="dxa"/>
          </w:tcPr>
          <w:p w14:paraId="40109D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弹窗点弹窗外必须能关；表单类弹框豁免需用户明确要求并注释原因</w:t>
            </w:r>
          </w:p>
        </w:tc>
        <w:tc>
          <w:tcPr>
            <w:tcW w:w="2239" w:type="dxa"/>
          </w:tcPr>
          <w:p w14:paraId="710586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el-dialog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默认遮罩关闭</w:t>
            </w:r>
          </w:p>
        </w:tc>
        <w:tc>
          <w:tcPr>
            <w:tcW w:w="2239" w:type="dxa"/>
          </w:tcPr>
          <w:p w14:paraId="75724E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§2（"关不掉很反直觉"）</w:t>
            </w:r>
          </w:p>
        </w:tc>
      </w:tr>
      <w:tr w14:paraId="5A2D1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A1D28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URS-COM-04</w:t>
            </w:r>
          </w:p>
        </w:tc>
        <w:tc>
          <w:tcPr>
            <w:tcW w:w="2239" w:type="dxa"/>
          </w:tcPr>
          <w:p w14:paraId="2D3018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行点击开详情时操作列按钮不得误触发行弹框；详情弹框一律只读</w:t>
            </w:r>
          </w:p>
        </w:tc>
        <w:tc>
          <w:tcPr>
            <w:tcW w:w="2239" w:type="dxa"/>
          </w:tcPr>
          <w:p w14:paraId="6BF465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@click.stop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el-form :disabled</w:t>
            </w:r>
          </w:p>
        </w:tc>
        <w:tc>
          <w:tcPr>
            <w:tcW w:w="2239" w:type="dxa"/>
          </w:tcPr>
          <w:p w14:paraId="2F85A0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§2</w:t>
            </w:r>
          </w:p>
        </w:tc>
      </w:tr>
      <w:tr w14:paraId="5563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5E71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URS-COM-05</w:t>
            </w:r>
          </w:p>
        </w:tc>
        <w:tc>
          <w:tcPr>
            <w:tcW w:w="2239" w:type="dxa"/>
          </w:tcPr>
          <w:p w14:paraId="54AAFB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工作站类页面撑满视口、表格内部滚动、分页钉底</w:t>
            </w:r>
          </w:p>
        </w:tc>
        <w:tc>
          <w:tcPr>
            <w:tcW w:w="2239" w:type="dxa"/>
          </w:tcPr>
          <w:p w14:paraId="249F72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像素断言验收</w:t>
            </w:r>
          </w:p>
        </w:tc>
        <w:tc>
          <w:tcPr>
            <w:tcW w:w="2239" w:type="dxa"/>
          </w:tcPr>
          <w:p w14:paraId="2F1998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§2、FR-OPD-21</w:t>
            </w:r>
          </w:p>
        </w:tc>
      </w:tr>
      <w:tr w14:paraId="7333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1348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URS-COM-06</w:t>
            </w:r>
          </w:p>
        </w:tc>
        <w:tc>
          <w:tcPr>
            <w:tcW w:w="2239" w:type="dxa"/>
          </w:tcPr>
          <w:p w14:paraId="167127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敏感字段（手机/身份证/邮箱/医保卡）脱敏只在后端做、口径唯一、成对输出</w:t>
            </w:r>
          </w:p>
        </w:tc>
        <w:tc>
          <w:tcPr>
            <w:tcW w:w="2239" w:type="dxa"/>
          </w:tcPr>
          <w:p w14:paraId="6533C4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SensitiveMaskUtils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xxxMasked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，前端零遮码实现</w:t>
            </w:r>
          </w:p>
        </w:tc>
        <w:tc>
          <w:tcPr>
            <w:tcW w:w="2239" w:type="dxa"/>
          </w:tcPr>
          <w:p w14:paraId="442415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§5</w:t>
            </w:r>
          </w:p>
        </w:tc>
      </w:tr>
      <w:tr w14:paraId="32386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3AABC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URS-COM-07</w:t>
            </w:r>
          </w:p>
        </w:tc>
        <w:tc>
          <w:tcPr>
            <w:tcW w:w="2239" w:type="dxa"/>
          </w:tcPr>
          <w:p w14:paraId="2DD4EF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日期时间入参格式前后端对齐（空格分隔），不许前端传 ISO </w:t>
            </w:r>
            <w:r>
              <w:rPr>
                <w:rFonts w:ascii="Consolas" w:hAnsi="Consolas" w:eastAsia="Consolas"/>
                <w:b w:val="0"/>
                <w:sz w:val="17"/>
              </w:rPr>
              <w:t>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造成 400</w:t>
            </w:r>
          </w:p>
        </w:tc>
        <w:tc>
          <w:tcPr>
            <w:tcW w:w="2239" w:type="dxa"/>
          </w:tcPr>
          <w:p w14:paraId="2D83D2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@JsonFormat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value-format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同口径</w:t>
            </w:r>
          </w:p>
        </w:tc>
        <w:tc>
          <w:tcPr>
            <w:tcW w:w="2239" w:type="dxa"/>
          </w:tcPr>
          <w:p w14:paraId="0FC6CE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§3</w:t>
            </w:r>
          </w:p>
        </w:tc>
      </w:tr>
      <w:tr w14:paraId="54B8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3D13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URS-COM-08</w:t>
            </w:r>
          </w:p>
        </w:tc>
        <w:tc>
          <w:tcPr>
            <w:tcW w:w="2239" w:type="dxa"/>
          </w:tcPr>
          <w:p w14:paraId="766B68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长文本入库前先截到列宽，保证用户总能看到失败原因而不是 500</w:t>
            </w:r>
          </w:p>
        </w:tc>
        <w:tc>
          <w:tcPr>
            <w:tcW w:w="2239" w:type="dxa"/>
          </w:tcPr>
          <w:p w14:paraId="34A59F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服务端 </w:t>
            </w:r>
            <w:r>
              <w:rPr>
                <w:rFonts w:ascii="Consolas" w:hAnsi="Consolas" w:eastAsia="Consolas"/>
                <w:b w:val="0"/>
                <w:sz w:val="17"/>
              </w:rPr>
              <w:t>cut(reason, 列宽)</w:t>
            </w:r>
          </w:p>
        </w:tc>
        <w:tc>
          <w:tcPr>
            <w:tcW w:w="2239" w:type="dxa"/>
          </w:tcPr>
          <w:p w14:paraId="3D0577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§3</w:t>
            </w:r>
          </w:p>
        </w:tc>
      </w:tr>
      <w:tr w14:paraId="2216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D4C8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URS-COM-09</w:t>
            </w:r>
          </w:p>
        </w:tc>
        <w:tc>
          <w:tcPr>
            <w:tcW w:w="2239" w:type="dxa"/>
          </w:tcPr>
          <w:p w14:paraId="376045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数据范围由后端按当前岗位强制收口，前端不传科室参数、无"全部科室"开关</w:t>
            </w:r>
          </w:p>
        </w:tc>
        <w:tc>
          <w:tcPr>
            <w:tcW w:w="2239" w:type="dxa"/>
          </w:tcPr>
          <w:p w14:paraId="7C8D4D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DeptScopeGuard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fail-closed</w:t>
            </w:r>
          </w:p>
        </w:tc>
        <w:tc>
          <w:tcPr>
            <w:tcW w:w="2239" w:type="dxa"/>
          </w:tcPr>
          <w:p w14:paraId="5CD4F8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§6</w:t>
            </w:r>
          </w:p>
        </w:tc>
      </w:tr>
      <w:tr w14:paraId="0B8B3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DD80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URS-COM-10</w:t>
            </w:r>
          </w:p>
        </w:tc>
        <w:tc>
          <w:tcPr>
            <w:tcW w:w="2239" w:type="dxa"/>
          </w:tcPr>
          <w:p w14:paraId="6FD9E4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一切"名单/列表"类渲染有上限（如只读列表截断前 50 条并显示总数）</w:t>
            </w:r>
          </w:p>
        </w:tc>
        <w:tc>
          <w:tcPr>
            <w:tcW w:w="2239" w:type="dxa"/>
          </w:tcPr>
          <w:p w14:paraId="33E5BA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分页/截断 + 总数提示</w:t>
            </w:r>
          </w:p>
        </w:tc>
        <w:tc>
          <w:tcPr>
            <w:tcW w:w="2239" w:type="dxa"/>
          </w:tcPr>
          <w:p w14:paraId="7DEAAC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§2</w:t>
            </w:r>
          </w:p>
        </w:tc>
      </w:tr>
      <w:tr w14:paraId="2FD8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F4603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URS-COM-11</w:t>
            </w:r>
          </w:p>
        </w:tc>
        <w:tc>
          <w:tcPr>
            <w:tcW w:w="2239" w:type="dxa"/>
          </w:tcPr>
          <w:p w14:paraId="3063A1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催办类消息同一事件对同一人只催一次，可重入不重复打扰</w:t>
            </w:r>
          </w:p>
        </w:tc>
        <w:tc>
          <w:tcPr>
            <w:tcW w:w="2239" w:type="dxa"/>
          </w:tcPr>
          <w:p w14:paraId="0A67C3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定时扫描 + 去重键</w:t>
            </w:r>
          </w:p>
        </w:tc>
        <w:tc>
          <w:tcPr>
            <w:tcW w:w="2239" w:type="dxa"/>
          </w:tcPr>
          <w:p w14:paraId="16E20E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FR-OPD-31、FR-MT-06、FR-ORG-11</w:t>
            </w:r>
          </w:p>
        </w:tc>
      </w:tr>
      <w:tr w14:paraId="7699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163C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URS-COM-12</w:t>
            </w:r>
          </w:p>
        </w:tc>
        <w:tc>
          <w:tcPr>
            <w:tcW w:w="2239" w:type="dxa"/>
          </w:tcPr>
          <w:p w14:paraId="3E207A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业务规则、统计量、状态判定一律服务端计算，前端只呈现不判定</w:t>
            </w:r>
          </w:p>
        </w:tc>
        <w:tc>
          <w:tcPr>
            <w:tcW w:w="2239" w:type="dxa"/>
          </w:tcPr>
          <w:p w14:paraId="256EB2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各域 FR 通用条款</w:t>
            </w:r>
          </w:p>
        </w:tc>
        <w:tc>
          <w:tcPr>
            <w:tcW w:w="2239" w:type="dxa"/>
          </w:tcPr>
          <w:p w14:paraId="3419E9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FR-NUR-06/07、FR-MT-31、FR-EMR-36 等</w:t>
            </w:r>
          </w:p>
        </w:tc>
      </w:tr>
      <w:tr w14:paraId="35A5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F25F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URS-COM-13</w:t>
            </w:r>
          </w:p>
        </w:tc>
        <w:tc>
          <w:tcPr>
            <w:tcW w:w="2239" w:type="dxa"/>
          </w:tcPr>
          <w:p w14:paraId="3D8F9A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界面真实数据驱动，禁止 mock/写死数组/前端自造统计数字</w:t>
            </w:r>
          </w:p>
        </w:tc>
        <w:tc>
          <w:tcPr>
            <w:tcW w:w="2239" w:type="dxa"/>
          </w:tcPr>
          <w:p w14:paraId="13632D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API 层为稳定契约</w:t>
            </w:r>
          </w:p>
        </w:tc>
        <w:tc>
          <w:tcPr>
            <w:tcW w:w="2239" w:type="dxa"/>
          </w:tcPr>
          <w:p w14:paraId="0D86AB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§2</w:t>
            </w:r>
          </w:p>
        </w:tc>
      </w:tr>
    </w:tbl>
    <w:p w14:paraId="686D73B6">
      <w:pPr>
        <w:spacing w:after="40"/>
      </w:pPr>
    </w:p>
    <w:p w14:paraId="762C1507">
      <w:pPr>
        <w:pStyle w:val="3"/>
        <w:keepNext/>
        <w:spacing w:before="240" w:after="120"/>
      </w:pPr>
      <w:bookmarkStart w:id="28" w:name="_Toc26808"/>
      <w:r>
        <w:rPr>
          <w:rFonts w:ascii="Times New Roman" w:hAnsi="Times New Roman" w:eastAsia="黑体"/>
          <w:b/>
          <w:color w:val="000000"/>
          <w:sz w:val="32"/>
        </w:rPr>
        <w:t>5 真实运行事件复盘（诉求的现实由来）</w:t>
      </w:r>
      <w:bookmarkEnd w:id="28"/>
    </w:p>
    <w:p w14:paraId="18AB4B13">
      <w:r>
        <w:rPr>
          <w:rFonts w:ascii="Times New Roman" w:hAnsi="Times New Roman" w:eastAsia="宋体"/>
          <w:b w:val="0"/>
          <w:sz w:val="21"/>
        </w:rPr>
        <w:t>以下事件全部真实发生于本项目开发与试运行期间（记录于 AGENTS.md 与提交历史），是上述诉求的直接由来。保留它们是为了防止同类诉求被"改造掉"。</w:t>
      </w:r>
    </w:p>
    <w:p w14:paraId="6CC374AC">
      <w:pPr>
        <w:pStyle w:val="4"/>
        <w:keepNext/>
        <w:spacing w:before="160" w:after="120"/>
      </w:pPr>
      <w:bookmarkStart w:id="29" w:name="_Toc28329"/>
      <w:r>
        <w:rPr>
          <w:rFonts w:ascii="Times New Roman" w:hAnsi="Times New Roman" w:eastAsia="黑体"/>
          <w:b/>
          <w:color w:val="000000"/>
          <w:sz w:val="27"/>
        </w:rPr>
        <w:t>5.1 「点切换角色就被踢回登录页」</w:t>
      </w:r>
      <w:bookmarkEnd w:id="29"/>
    </w:p>
    <w:p w14:paraId="6E51BBD6">
      <w:r>
        <w:rPr>
          <w:rFonts w:ascii="Times New Roman" w:hAnsi="Times New Roman" w:eastAsia="宋体"/>
          <w:b w:val="0"/>
          <w:sz w:val="21"/>
        </w:rPr>
        <w:t xml:space="preserve">公共接口 </w:t>
      </w:r>
      <w:r>
        <w:rPr>
          <w:rFonts w:ascii="Consolas" w:hAnsi="Consolas" w:eastAsia="Consolas"/>
          <w:b w:val="0"/>
          <w:sz w:val="20"/>
        </w:rPr>
        <w:t>/system/menu/userMenus</w:t>
      </w:r>
      <w:r>
        <w:rPr>
          <w:rFonts w:ascii="Times New Roman" w:hAnsi="Times New Roman" w:eastAsia="宋体"/>
          <w:b w:val="0"/>
          <w:sz w:val="21"/>
        </w:rPr>
        <w:t xml:space="preserve"> 被 Controller 类级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 罩住，医生/药剂师/前台导诊等非管理岗一律 403。诉求定型为：</w:t>
      </w:r>
      <w:r>
        <w:rPr>
          <w:rFonts w:ascii="Times New Roman" w:hAnsi="Times New Roman" w:eastAsia="黑体"/>
          <w:b/>
          <w:sz w:val="21"/>
        </w:rPr>
        <w:t>权限注解一律标方法；403 只弹提示绝不清 token；通用参照数据不配权限码</w:t>
      </w:r>
      <w:r>
        <w:rPr>
          <w:rFonts w:ascii="Times New Roman" w:hAnsi="Times New Roman" w:eastAsia="宋体"/>
          <w:b w:val="0"/>
          <w:sz w:val="21"/>
        </w:rPr>
        <w:t>（URS-SYS-03、AGENTS.md §4）。</w:t>
      </w:r>
    </w:p>
    <w:p w14:paraId="27C693E6">
      <w:pPr>
        <w:pStyle w:val="4"/>
        <w:keepNext/>
        <w:spacing w:before="160" w:after="120"/>
      </w:pPr>
      <w:bookmarkStart w:id="30" w:name="_Toc3532"/>
      <w:r>
        <w:rPr>
          <w:rFonts w:ascii="Times New Roman" w:hAnsi="Times New Roman" w:eastAsia="黑体"/>
          <w:b/>
          <w:color w:val="000000"/>
          <w:sz w:val="27"/>
        </w:rPr>
        <w:t>5.2 「下拉空掉、页面像崩了」</w:t>
      </w:r>
      <w:bookmarkEnd w:id="30"/>
    </w:p>
    <w:p w14:paraId="4801AFCE">
      <w:r>
        <w:rPr>
          <w:rFonts w:ascii="Times New Roman" w:hAnsi="Times New Roman" w:eastAsia="宋体"/>
          <w:b w:val="0"/>
          <w:sz w:val="21"/>
        </w:rPr>
        <w:t xml:space="preserve">科室、字典、药品等公共参照接口挂了 </w:t>
      </w:r>
      <w:r>
        <w:rPr>
          <w:rFonts w:ascii="Consolas" w:hAnsi="Consolas" w:eastAsia="Consolas"/>
          <w:b w:val="0"/>
          <w:sz w:val="20"/>
        </w:rPr>
        <w:t>system:xxx:list</w:t>
      </w:r>
      <w:r>
        <w:rPr>
          <w:rFonts w:ascii="Times New Roman" w:hAnsi="Times New Roman" w:eastAsia="宋体"/>
          <w:b w:val="0"/>
          <w:sz w:val="21"/>
        </w:rPr>
        <w:t xml:space="preserve"> 权限码，非管理岗一进页面就 403，排查时几乎被当成后端 bug。诉求定型为：</w:t>
      </w:r>
      <w:r>
        <w:rPr>
          <w:rFonts w:ascii="Times New Roman" w:hAnsi="Times New Roman" w:eastAsia="黑体"/>
          <w:b/>
          <w:sz w:val="21"/>
        </w:rPr>
        <w:t>参照数据只要求登录，权限码只留给本页面独有业务数据</w:t>
      </w:r>
      <w:r>
        <w:rPr>
          <w:rFonts w:ascii="Times New Roman" w:hAnsi="Times New Roman" w:eastAsia="宋体"/>
          <w:b w:val="0"/>
          <w:sz w:val="21"/>
        </w:rPr>
        <w:t>（FR-SYS-05）。</w:t>
      </w:r>
    </w:p>
    <w:p w14:paraId="4EA3913A">
      <w:pPr>
        <w:pStyle w:val="4"/>
        <w:keepNext/>
        <w:spacing w:before="160" w:after="120"/>
      </w:pPr>
      <w:bookmarkStart w:id="31" w:name="_Toc29423"/>
      <w:r>
        <w:rPr>
          <w:rFonts w:ascii="Times New Roman" w:hAnsi="Times New Roman" w:eastAsia="黑体"/>
          <w:b/>
          <w:color w:val="000000"/>
          <w:sz w:val="27"/>
        </w:rPr>
        <w:t>5.3 「收费员现金清点必然多出一块说不来的差额」</w:t>
      </w:r>
      <w:bookmarkEnd w:id="31"/>
    </w:p>
    <w:p w14:paraId="53BC0231">
      <w:r>
        <w:rPr>
          <w:rFonts w:ascii="Times New Roman" w:hAnsi="Times New Roman" w:eastAsia="宋体"/>
          <w:b w:val="0"/>
          <w:sz w:val="21"/>
        </w:rPr>
        <w:t>旧收费模型把医保统筹塞进"优惠金额"列、单值支付方式表达不了"现金+医保+余额"组合，日结只能按状态列反推。诉求定型为</w:t>
      </w:r>
      <w:r>
        <w:rPr>
          <w:rFonts w:ascii="Times New Roman" w:hAnsi="Times New Roman" w:eastAsia="黑体"/>
          <w:b/>
          <w:sz w:val="21"/>
        </w:rPr>
        <w:t>收费四层铁律</w:t>
      </w:r>
      <w:r>
        <w:rPr>
          <w:rFonts w:ascii="Times New Roman" w:hAnsi="Times New Roman" w:eastAsia="宋体"/>
          <w:b w:val="0"/>
          <w:sz w:val="21"/>
        </w:rPr>
        <w:t>：记账/结算/支付/票据各层一表一问，优惠与医保 split 分列，一笔钱一行带符号（URS-FIN-01~05、AGENTS.md §7）。</w:t>
      </w:r>
    </w:p>
    <w:p w14:paraId="0F68CD0A">
      <w:pPr>
        <w:pStyle w:val="4"/>
        <w:keepNext/>
        <w:spacing w:before="160" w:after="120"/>
      </w:pPr>
      <w:bookmarkStart w:id="32" w:name="_Toc15249"/>
      <w:r>
        <w:rPr>
          <w:rFonts w:ascii="Times New Roman" w:hAnsi="Times New Roman" w:eastAsia="黑体"/>
          <w:b/>
          <w:color w:val="000000"/>
          <w:sz w:val="27"/>
        </w:rPr>
        <w:t>5.4 管理员排出一排「主岗位」</w:t>
      </w:r>
      <w:bookmarkEnd w:id="32"/>
    </w:p>
    <w:p w14:paraId="4786FCC0">
      <w:r>
        <w:rPr>
          <w:rFonts w:ascii="Times New Roman" w:hAnsi="Times New Roman" w:eastAsia="宋体"/>
          <w:b w:val="0"/>
          <w:sz w:val="21"/>
        </w:rPr>
        <w:t>按"每角色一条主岗位"存时，岗位配置表里一人多条"主岗位"，管理员自己都困惑——"人事没这个概念"。诉求定型为：</w:t>
      </w:r>
      <w:r>
        <w:rPr>
          <w:rFonts w:ascii="Times New Roman" w:hAnsi="Times New Roman" w:eastAsia="黑体"/>
          <w:b/>
          <w:sz w:val="21"/>
        </w:rPr>
        <w:t>每人恰好一条主岗位</w:t>
      </w:r>
      <w:r>
        <w:rPr>
          <w:rFonts w:ascii="Times New Roman" w:hAnsi="Times New Roman" w:eastAsia="宋体"/>
          <w:b w:val="0"/>
          <w:sz w:val="21"/>
        </w:rPr>
        <w:t>（人级不变量），登录落点现算（URS-ORG-05、AGENTS.md §6）。</w:t>
      </w:r>
    </w:p>
    <w:p w14:paraId="5EA0D3C6">
      <w:pPr>
        <w:pStyle w:val="4"/>
        <w:keepNext/>
        <w:spacing w:before="160" w:after="120"/>
      </w:pPr>
      <w:bookmarkStart w:id="33" w:name="_Toc31353"/>
      <w:r>
        <w:rPr>
          <w:rFonts w:ascii="Times New Roman" w:hAnsi="Times New Roman" w:eastAsia="黑体"/>
          <w:b/>
          <w:color w:val="000000"/>
          <w:sz w:val="27"/>
        </w:rPr>
        <w:t>5.5 「下一次保存把真号洗成星号」</w:t>
      </w:r>
      <w:bookmarkEnd w:id="33"/>
    </w:p>
    <w:p w14:paraId="7197F978">
      <w:r>
        <w:rPr>
          <w:rFonts w:ascii="Times New Roman" w:hAnsi="Times New Roman" w:eastAsia="宋体"/>
          <w:b w:val="0"/>
          <w:sz w:val="21"/>
        </w:rPr>
        <w:t xml:space="preserve">编辑回显若走脱敏接口，表单整对象回写会把 </w:t>
      </w:r>
      <w:r>
        <w:rPr>
          <w:rFonts w:ascii="Consolas" w:hAnsi="Consolas" w:eastAsia="Consolas"/>
          <w:b w:val="0"/>
          <w:sz w:val="20"/>
        </w:rPr>
        <w:t>188****5878</w:t>
      </w:r>
      <w:r>
        <w:rPr>
          <w:rFonts w:ascii="Times New Roman" w:hAnsi="Times New Roman" w:eastAsia="宋体"/>
          <w:b w:val="0"/>
          <w:sz w:val="21"/>
        </w:rPr>
        <w:t xml:space="preserve"> 存进库——不可逆数据损坏。诉求定型为：</w:t>
      </w:r>
      <w:r>
        <w:rPr>
          <w:rFonts w:ascii="Times New Roman" w:hAnsi="Times New Roman" w:eastAsia="黑体"/>
          <w:b/>
          <w:sz w:val="21"/>
        </w:rPr>
        <w:t>编辑回显明文、展示详情脱敏，两条路径不得混用</w:t>
      </w:r>
      <w:r>
        <w:rPr>
          <w:rFonts w:ascii="Times New Roman" w:hAnsi="Times New Roman" w:eastAsia="宋体"/>
          <w:b w:val="0"/>
          <w:sz w:val="21"/>
        </w:rPr>
        <w:t>（URS-PAT-02、AGENTS.md §5）。</w:t>
      </w:r>
    </w:p>
    <w:p w14:paraId="680AB73D">
      <w:pPr>
        <w:pStyle w:val="4"/>
        <w:keepNext/>
        <w:spacing w:before="160" w:after="120"/>
      </w:pPr>
      <w:bookmarkStart w:id="34" w:name="_Toc12424"/>
      <w:r>
        <w:rPr>
          <w:rFonts w:ascii="Times New Roman" w:hAnsi="Times New Roman" w:eastAsia="黑体"/>
          <w:b/>
          <w:color w:val="000000"/>
          <w:sz w:val="27"/>
        </w:rPr>
        <w:t>5.6 「记账失败升级成 500，用户连失败原因都看不到」</w:t>
      </w:r>
      <w:bookmarkEnd w:id="34"/>
    </w:p>
    <w:p w14:paraId="06D7BDEC">
      <w:r>
        <w:rPr>
          <w:rFonts w:ascii="Times New Roman" w:hAnsi="Times New Roman" w:eastAsia="宋体"/>
          <w:b w:val="0"/>
          <w:sz w:val="21"/>
        </w:rPr>
        <w:t>把原始数据库异常拼进 VARCHAR(500) 原因列，超长再炸一次。诉求定型为：</w:t>
      </w:r>
      <w:r>
        <w:rPr>
          <w:rFonts w:ascii="Times New Roman" w:hAnsi="Times New Roman" w:eastAsia="黑体"/>
          <w:b/>
          <w:sz w:val="21"/>
        </w:rPr>
        <w:t xml:space="preserve">写库文本先截列宽、入参层不再加 </w:t>
      </w:r>
      <w:r>
        <w:rPr>
          <w:rFonts w:ascii="Consolas" w:hAnsi="Consolas" w:eastAsia="Consolas"/>
          <w:b/>
          <w:sz w:val="20"/>
        </w:rPr>
        <w:t>@Size</w:t>
      </w:r>
      <w:r>
        <w:rPr>
          <w:rFonts w:ascii="Times New Roman" w:hAnsi="Times New Roman" w:eastAsia="黑体"/>
          <w:b/>
          <w:sz w:val="21"/>
        </w:rPr>
        <w:t xml:space="preserve"> 抢跑</w:t>
      </w:r>
      <w:r>
        <w:rPr>
          <w:rFonts w:ascii="Times New Roman" w:hAnsi="Times New Roman" w:eastAsia="宋体"/>
          <w:b w:val="0"/>
          <w:sz w:val="21"/>
        </w:rPr>
        <w:t>（URS-FIN-08、URS-COM-08）。</w:t>
      </w:r>
    </w:p>
    <w:p w14:paraId="39656134">
      <w:pPr>
        <w:pStyle w:val="4"/>
        <w:keepNext/>
        <w:spacing w:before="160" w:after="120"/>
      </w:pPr>
      <w:bookmarkStart w:id="35" w:name="_Toc15988"/>
      <w:r>
        <w:rPr>
          <w:rFonts w:ascii="Times New Roman" w:hAnsi="Times New Roman" w:eastAsia="黑体"/>
          <w:b/>
          <w:color w:val="000000"/>
          <w:sz w:val="27"/>
        </w:rPr>
        <w:t>5.7 「现象与后端挂了完全一样」</w:t>
      </w:r>
      <w:bookmarkEnd w:id="35"/>
    </w:p>
    <w:p w14:paraId="2773AD2C">
      <w:r>
        <w:rPr>
          <w:rFonts w:ascii="Times New Roman" w:hAnsi="Times New Roman" w:eastAsia="宋体"/>
          <w:b w:val="0"/>
          <w:sz w:val="21"/>
        </w:rPr>
        <w:t>岗位配置表 1692 行 × 行内科室下拉（94 科室 × 18 角色）整表渲染，点开编辑后主线程冻结几十秒，而接口本身只花 30ms。诉求定型为：</w:t>
      </w:r>
      <w:r>
        <w:rPr>
          <w:rFonts w:ascii="Times New Roman" w:hAnsi="Times New Roman" w:eastAsia="黑体"/>
          <w:b/>
          <w:sz w:val="21"/>
        </w:rPr>
        <w:t>不可控行数的可编辑表格必须分页 + 渲染上限，且排查先测接口耗时再归因</w:t>
      </w:r>
      <w:r>
        <w:rPr>
          <w:rFonts w:ascii="Times New Roman" w:hAnsi="Times New Roman" w:eastAsia="宋体"/>
          <w:b w:val="0"/>
          <w:sz w:val="21"/>
        </w:rPr>
        <w:t>（URS-ORG-06）。</w:t>
      </w:r>
    </w:p>
    <w:p w14:paraId="64DB0144">
      <w:pPr>
        <w:pStyle w:val="4"/>
        <w:keepNext/>
        <w:spacing w:before="160" w:after="120"/>
      </w:pPr>
      <w:bookmarkStart w:id="36" w:name="_Toc11028"/>
      <w:r>
        <w:rPr>
          <w:rFonts w:ascii="Times New Roman" w:hAnsi="Times New Roman" w:eastAsia="黑体"/>
          <w:b/>
          <w:color w:val="000000"/>
          <w:sz w:val="27"/>
        </w:rPr>
        <w:t>5.8 「删了重建必然撞唯一键」</w:t>
      </w:r>
      <w:bookmarkEnd w:id="36"/>
    </w:p>
    <w:p w14:paraId="25D3696A">
      <w:r>
        <w:rPr>
          <w:rFonts w:ascii="Times New Roman" w:hAnsi="Times New Roman" w:eastAsia="宋体"/>
          <w:b w:val="0"/>
          <w:sz w:val="21"/>
        </w:rPr>
        <w:t>纯配置表软删留下的行仍占唯一键，"先清旧再插新"的整表替换写法必现 500。诉求定型为：</w:t>
      </w:r>
      <w:r>
        <w:rPr>
          <w:rFonts w:ascii="Times New Roman" w:hAnsi="Times New Roman" w:eastAsia="黑体"/>
          <w:b/>
          <w:sz w:val="21"/>
        </w:rPr>
        <w:t xml:space="preserve">唯一键不含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黑体"/>
          <w:b/>
          <w:sz w:val="21"/>
        </w:rPr>
        <w:t xml:space="preserve"> 的表删除一律物理删</w:t>
      </w:r>
      <w:r>
        <w:rPr>
          <w:rFonts w:ascii="Times New Roman" w:hAnsi="Times New Roman" w:eastAsia="宋体"/>
          <w:b w:val="0"/>
          <w:sz w:val="21"/>
        </w:rPr>
        <w:t>，建表时就把口径写死（URS-PH-09、AGENTS.md §3）。</w:t>
      </w:r>
    </w:p>
    <w:p w14:paraId="663929C2">
      <w:pPr>
        <w:pStyle w:val="4"/>
        <w:keepNext/>
        <w:spacing w:before="160" w:after="120"/>
      </w:pPr>
      <w:bookmarkStart w:id="37" w:name="_Toc28157"/>
      <w:r>
        <w:rPr>
          <w:rFonts w:ascii="Times New Roman" w:hAnsi="Times New Roman" w:eastAsia="黑体"/>
          <w:b/>
          <w:color w:val="000000"/>
          <w:sz w:val="27"/>
        </w:rPr>
        <w:t>5.9 铺底数据口径</w:t>
      </w:r>
      <w:bookmarkEnd w:id="37"/>
    </w:p>
    <w:p w14:paraId="46125B9A">
      <w:r>
        <w:rPr>
          <w:rFonts w:ascii="Times New Roman" w:hAnsi="Times New Roman" w:eastAsia="宋体"/>
          <w:b w:val="0"/>
          <w:sz w:val="21"/>
        </w:rPr>
        <w:t>用户明确要求：</w:t>
      </w:r>
      <w:r>
        <w:rPr>
          <w:rFonts w:ascii="Times New Roman" w:hAnsi="Times New Roman" w:eastAsia="黑体"/>
          <w:b/>
          <w:sz w:val="21"/>
        </w:rPr>
        <w:t>主档铺底数据必须一次造全</w:t>
      </w:r>
      <w:r>
        <w:rPr>
          <w:rFonts w:ascii="Times New Roman" w:hAnsi="Times New Roman" w:eastAsia="宋体"/>
          <w:b w:val="0"/>
          <w:sz w:val="21"/>
        </w:rPr>
        <w:t>——每个列给真实值、身份证校验位用真算法，"没有的都添加一下"是常态指令；不允许半成品档案进演示环境。</w:t>
      </w:r>
    </w:p>
    <w:p w14:paraId="59DF540D">
      <w:pPr>
        <w:pStyle w:val="3"/>
        <w:keepNext/>
        <w:spacing w:before="240" w:after="120"/>
      </w:pPr>
      <w:bookmarkStart w:id="38" w:name="_Toc26390"/>
      <w:r>
        <w:rPr>
          <w:rFonts w:ascii="Times New Roman" w:hAnsi="Times New Roman" w:eastAsia="黑体"/>
          <w:b/>
          <w:color w:val="000000"/>
          <w:sz w:val="32"/>
        </w:rPr>
        <w:t>6 合规与评审驱动的诉求</w:t>
      </w:r>
      <w:bookmarkEnd w:id="3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2E34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1F98C6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7572B40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诉求</w:t>
            </w:r>
          </w:p>
        </w:tc>
        <w:tc>
          <w:tcPr>
            <w:tcW w:w="2239" w:type="dxa"/>
            <w:shd w:val="clear" w:color="auto" w:fill="E8EEF5"/>
          </w:tcPr>
          <w:p w14:paraId="3975D4E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来源</w:t>
            </w:r>
          </w:p>
        </w:tc>
        <w:tc>
          <w:tcPr>
            <w:tcW w:w="2239" w:type="dxa"/>
            <w:shd w:val="clear" w:color="auto" w:fill="E8EEF5"/>
          </w:tcPr>
          <w:p w14:paraId="598BD88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落位</w:t>
            </w:r>
          </w:p>
        </w:tc>
      </w:tr>
      <w:tr w14:paraId="6D1E0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8A61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URS-CMP-01</w:t>
            </w:r>
          </w:p>
        </w:tc>
        <w:tc>
          <w:tcPr>
            <w:tcW w:w="2239" w:type="dxa"/>
          </w:tcPr>
          <w:p w14:paraId="4440F6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对标标准三甲 HIS 的功能必须补齐：抗菌药物管理（分级授权/AUD/送检率/I 类切口）、VTE 防控链、功能科心电工作站为 2026-09-28 全盘点的三个评审硬项</w:t>
            </w:r>
          </w:p>
        </w:tc>
        <w:tc>
          <w:tcPr>
            <w:tcW w:w="2239" w:type="dxa"/>
          </w:tcPr>
          <w:p w14:paraId="5463E1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菜单全面盘点（403 条 sys_menu 对照标准 HIS）</w:t>
            </w:r>
          </w:p>
        </w:tc>
        <w:tc>
          <w:tcPr>
            <w:tcW w:w="2239" w:type="dxa"/>
          </w:tcPr>
          <w:p w14:paraId="59A267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FR-PH-41~44、FR-NUR-05/06、FR-MT-21，详设 11/9/10 章</w:t>
            </w:r>
          </w:p>
        </w:tc>
      </w:tr>
      <w:tr w14:paraId="1BAF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C7EB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URS-CMP-02</w:t>
            </w:r>
          </w:p>
        </w:tc>
        <w:tc>
          <w:tcPr>
            <w:tcW w:w="2239" w:type="dxa"/>
          </w:tcPr>
          <w:p w14:paraId="3675D2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护理病区排班、营养膳食、总值班、自助终端管理列中档缺口，按排期补齐</w:t>
            </w:r>
          </w:p>
        </w:tc>
        <w:tc>
          <w:tcPr>
            <w:tcW w:w="2239" w:type="dxa"/>
          </w:tcPr>
          <w:p w14:paraId="27111D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29D3B9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FR-NUR-01~04、FR-IPD-34、FR-ORG-09/10</w:t>
            </w:r>
          </w:p>
        </w:tc>
      </w:tr>
      <w:tr w14:paraId="0C56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4AE6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URS-CMP-03</w:t>
            </w:r>
          </w:p>
        </w:tc>
        <w:tc>
          <w:tcPr>
            <w:tcW w:w="2239" w:type="dxa"/>
          </w:tcPr>
          <w:p w14:paraId="405D57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电子病历评级口径：文书结构化率分型统计、签名对象注册与覆盖率、质控三级流转</w:t>
            </w:r>
          </w:p>
        </w:tc>
        <w:tc>
          <w:tcPr>
            <w:tcW w:w="2239" w:type="dxa"/>
          </w:tcPr>
          <w:p w14:paraId="48E4BA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评级要求</w:t>
            </w:r>
          </w:p>
        </w:tc>
        <w:tc>
          <w:tcPr>
            <w:tcW w:w="2239" w:type="dxa"/>
          </w:tcPr>
          <w:p w14:paraId="74DF46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FR-EMR-04/06/22</w:t>
            </w:r>
          </w:p>
        </w:tc>
      </w:tr>
      <w:tr w14:paraId="7786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A1C7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URS-CMP-04</w:t>
            </w:r>
          </w:p>
        </w:tc>
        <w:tc>
          <w:tcPr>
            <w:tcW w:w="2239" w:type="dxa"/>
          </w:tcPr>
          <w:p w14:paraId="6DFB3A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医保合规：报盘留痕、四类智能审核规则、扣款台账；真实上报通道以网关接口预留、不阻塞院内闭环</w:t>
            </w:r>
          </w:p>
        </w:tc>
        <w:tc>
          <w:tcPr>
            <w:tcW w:w="2239" w:type="dxa"/>
          </w:tcPr>
          <w:p w14:paraId="4D530C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医保局对接</w:t>
            </w:r>
          </w:p>
        </w:tc>
        <w:tc>
          <w:tcPr>
            <w:tcW w:w="2239" w:type="dxa"/>
          </w:tcPr>
          <w:p w14:paraId="5B7AEA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FR-FIN-35/36/37</w:t>
            </w:r>
          </w:p>
        </w:tc>
      </w:tr>
      <w:tr w14:paraId="6907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C47B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URS-CMP-05</w:t>
            </w:r>
          </w:p>
        </w:tc>
        <w:tc>
          <w:tcPr>
            <w:tcW w:w="2239" w:type="dxa"/>
          </w:tcPr>
          <w:p w14:paraId="006066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麻醉精神药品专册、空安瓿回收等特药管理为法定要求，系统只做"不可篡改的登记"不做变通</w:t>
            </w:r>
          </w:p>
        </w:tc>
        <w:tc>
          <w:tcPr>
            <w:tcW w:w="2239" w:type="dxa"/>
          </w:tcPr>
          <w:p w14:paraId="460385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特药管理条例</w:t>
            </w:r>
          </w:p>
        </w:tc>
        <w:tc>
          <w:tcPr>
            <w:tcW w:w="2239" w:type="dxa"/>
          </w:tcPr>
          <w:p w14:paraId="11E45E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FR-PH-29</w:t>
            </w:r>
          </w:p>
        </w:tc>
      </w:tr>
      <w:tr w14:paraId="65CD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55A4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URS-CMP-06</w:t>
            </w:r>
          </w:p>
        </w:tc>
        <w:tc>
          <w:tcPr>
            <w:tcW w:w="2239" w:type="dxa"/>
          </w:tcPr>
          <w:p w14:paraId="7CCAD1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传染病、公卫、死亡证明上报时限预警与退报留痕；对外直报以报文落库形式预留</w:t>
            </w:r>
          </w:p>
        </w:tc>
        <w:tc>
          <w:tcPr>
            <w:tcW w:w="2239" w:type="dxa"/>
          </w:tcPr>
          <w:p w14:paraId="4B4172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法定报告义务</w:t>
            </w:r>
          </w:p>
        </w:tc>
        <w:tc>
          <w:tcPr>
            <w:tcW w:w="2239" w:type="dxa"/>
          </w:tcPr>
          <w:p w14:paraId="03BDA6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FR-EMR-32/34、FR-IPD-38</w:t>
            </w:r>
          </w:p>
        </w:tc>
      </w:tr>
      <w:tr w14:paraId="7659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ACE9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URS-CMP-07</w:t>
            </w:r>
          </w:p>
        </w:tc>
        <w:tc>
          <w:tcPr>
            <w:tcW w:w="2239" w:type="dxa"/>
          </w:tcPr>
          <w:p w14:paraId="6ED93E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院排班是用户明确表达的扩展意向："应该是整个医院的排班信息"——病区医生二线听班、技师个人班、挂号收费窗口班、药房夜班都要有排班载体且被业务真正读到；因号源闸写死医生类别，改造须先换成显式"是否出诊"列</w:t>
            </w:r>
          </w:p>
        </w:tc>
        <w:tc>
          <w:tcPr>
            <w:tcW w:w="2239" w:type="dxa"/>
          </w:tcPr>
          <w:p w14:paraId="1CBD38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2026-09-29 用户连续追问，三档方案待选</w:t>
            </w:r>
          </w:p>
        </w:tc>
        <w:tc>
          <w:tcPr>
            <w:tcW w:w="2239" w:type="dxa"/>
          </w:tcPr>
          <w:p w14:paraId="077165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FR-ORG-07/08，详设 15 章</w:t>
            </w:r>
          </w:p>
        </w:tc>
      </w:tr>
      <w:tr w14:paraId="4B01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92CE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URS-CMP-08</w:t>
            </w:r>
          </w:p>
        </w:tc>
        <w:tc>
          <w:tcPr>
            <w:tcW w:w="2239" w:type="dxa"/>
          </w:tcPr>
          <w:p w14:paraId="4AC798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患者敏感查阅审计、日志三本账不可删，满足可追溯监管基线</w:t>
            </w:r>
          </w:p>
        </w:tc>
        <w:tc>
          <w:tcPr>
            <w:tcW w:w="2239" w:type="dxa"/>
          </w:tcPr>
          <w:p w14:paraId="08DC55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个保法/网安口径</w:t>
            </w:r>
          </w:p>
        </w:tc>
        <w:tc>
          <w:tcPr>
            <w:tcW w:w="2239" w:type="dxa"/>
          </w:tcPr>
          <w:p w14:paraId="28C06A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FR-PAT-11、FR-SYS-08</w:t>
            </w:r>
          </w:p>
        </w:tc>
      </w:tr>
    </w:tbl>
    <w:p w14:paraId="7151C630">
      <w:pPr>
        <w:spacing w:after="40"/>
      </w:pPr>
    </w:p>
    <w:p w14:paraId="2EA743DA">
      <w:pPr>
        <w:pStyle w:val="3"/>
        <w:keepNext/>
        <w:spacing w:before="240" w:after="120"/>
      </w:pPr>
      <w:bookmarkStart w:id="39" w:name="_Toc25021"/>
      <w:r>
        <w:rPr>
          <w:rFonts w:ascii="Times New Roman" w:hAnsi="Times New Roman" w:eastAsia="黑体"/>
          <w:b/>
          <w:color w:val="000000"/>
          <w:sz w:val="32"/>
        </w:rPr>
        <w:t>7 诉求追溯矩阵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0569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B1CE11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业务域</w:t>
            </w:r>
          </w:p>
        </w:tc>
        <w:tc>
          <w:tcPr>
            <w:tcW w:w="2239" w:type="dxa"/>
            <w:shd w:val="clear" w:color="auto" w:fill="E8EEF5"/>
          </w:tcPr>
          <w:p w14:paraId="3E777AE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本文诉求组</w:t>
            </w:r>
          </w:p>
        </w:tc>
        <w:tc>
          <w:tcPr>
            <w:tcW w:w="2239" w:type="dxa"/>
            <w:shd w:val="clear" w:color="auto" w:fill="E8EEF5"/>
          </w:tcPr>
          <w:p w14:paraId="63CFBA5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需求规格 FR 族</w:t>
            </w:r>
          </w:p>
        </w:tc>
        <w:tc>
          <w:tcPr>
            <w:tcW w:w="2239" w:type="dxa"/>
            <w:shd w:val="clear" w:color="auto" w:fill="E8EEF5"/>
          </w:tcPr>
          <w:p w14:paraId="7393F62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详细设计章</w:t>
            </w:r>
          </w:p>
        </w:tc>
      </w:tr>
      <w:tr w14:paraId="35EB1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012B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门户工作台</w:t>
            </w:r>
          </w:p>
        </w:tc>
        <w:tc>
          <w:tcPr>
            <w:tcW w:w="2239" w:type="dxa"/>
          </w:tcPr>
          <w:p w14:paraId="47499B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URS-PORTAL-*</w:t>
            </w:r>
          </w:p>
        </w:tc>
        <w:tc>
          <w:tcPr>
            <w:tcW w:w="2239" w:type="dxa"/>
          </w:tcPr>
          <w:p w14:paraId="307950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FR-PORTAL-01~08</w:t>
            </w:r>
          </w:p>
        </w:tc>
        <w:tc>
          <w:tcPr>
            <w:tcW w:w="2239" w:type="dxa"/>
          </w:tcPr>
          <w:p w14:paraId="6AE4A9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 w14:paraId="75A8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93B5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</w:t>
            </w:r>
          </w:p>
        </w:tc>
        <w:tc>
          <w:tcPr>
            <w:tcW w:w="2239" w:type="dxa"/>
          </w:tcPr>
          <w:p w14:paraId="6F21BC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URS-OPD-*</w:t>
            </w:r>
          </w:p>
        </w:tc>
        <w:tc>
          <w:tcPr>
            <w:tcW w:w="2239" w:type="dxa"/>
          </w:tcPr>
          <w:p w14:paraId="4DC287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FR-OPD-01~37</w:t>
            </w:r>
          </w:p>
        </w:tc>
        <w:tc>
          <w:tcPr>
            <w:tcW w:w="2239" w:type="dxa"/>
          </w:tcPr>
          <w:p w14:paraId="67B732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 w14:paraId="4E66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E91C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</w:t>
            </w:r>
          </w:p>
        </w:tc>
        <w:tc>
          <w:tcPr>
            <w:tcW w:w="2239" w:type="dxa"/>
          </w:tcPr>
          <w:p w14:paraId="63C6B4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URS-IPD-*</w:t>
            </w:r>
          </w:p>
        </w:tc>
        <w:tc>
          <w:tcPr>
            <w:tcW w:w="2239" w:type="dxa"/>
          </w:tcPr>
          <w:p w14:paraId="2C4653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FR-IPD-01~41</w:t>
            </w:r>
          </w:p>
        </w:tc>
        <w:tc>
          <w:tcPr>
            <w:tcW w:w="2239" w:type="dxa"/>
          </w:tcPr>
          <w:p w14:paraId="3FB61F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 w14:paraId="41D8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BE21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</w:t>
            </w:r>
          </w:p>
        </w:tc>
        <w:tc>
          <w:tcPr>
            <w:tcW w:w="2239" w:type="dxa"/>
          </w:tcPr>
          <w:p w14:paraId="097034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URS-NUR-*</w:t>
            </w:r>
          </w:p>
        </w:tc>
        <w:tc>
          <w:tcPr>
            <w:tcW w:w="2239" w:type="dxa"/>
          </w:tcPr>
          <w:p w14:paraId="204CE4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FR-NUR-01~08</w:t>
            </w:r>
          </w:p>
        </w:tc>
        <w:tc>
          <w:tcPr>
            <w:tcW w:w="2239" w:type="dxa"/>
          </w:tcPr>
          <w:p w14:paraId="249F9D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</w:tr>
      <w:tr w14:paraId="4325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D8B5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</w:t>
            </w:r>
          </w:p>
        </w:tc>
        <w:tc>
          <w:tcPr>
            <w:tcW w:w="2239" w:type="dxa"/>
          </w:tcPr>
          <w:p w14:paraId="18FC03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URS-MT-*</w:t>
            </w:r>
          </w:p>
        </w:tc>
        <w:tc>
          <w:tcPr>
            <w:tcW w:w="2239" w:type="dxa"/>
          </w:tcPr>
          <w:p w14:paraId="728B7A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FR-MT-01~34</w:t>
            </w:r>
          </w:p>
        </w:tc>
        <w:tc>
          <w:tcPr>
            <w:tcW w:w="2239" w:type="dxa"/>
          </w:tcPr>
          <w:p w14:paraId="58EB58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 w14:paraId="77CE9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253A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药事</w:t>
            </w:r>
          </w:p>
        </w:tc>
        <w:tc>
          <w:tcPr>
            <w:tcW w:w="2239" w:type="dxa"/>
          </w:tcPr>
          <w:p w14:paraId="1FD816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URS-PH-*</w:t>
            </w:r>
          </w:p>
        </w:tc>
        <w:tc>
          <w:tcPr>
            <w:tcW w:w="2239" w:type="dxa"/>
          </w:tcPr>
          <w:p w14:paraId="1619CC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FR-PH-01~44</w:t>
            </w:r>
          </w:p>
        </w:tc>
        <w:tc>
          <w:tcPr>
            <w:tcW w:w="2239" w:type="dxa"/>
          </w:tcPr>
          <w:p w14:paraId="7F08C2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</w:tr>
      <w:tr w14:paraId="780F5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B8D3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病历与质量安全</w:t>
            </w:r>
          </w:p>
        </w:tc>
        <w:tc>
          <w:tcPr>
            <w:tcW w:w="2239" w:type="dxa"/>
          </w:tcPr>
          <w:p w14:paraId="598EA3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URS-EMR-*</w:t>
            </w:r>
          </w:p>
        </w:tc>
        <w:tc>
          <w:tcPr>
            <w:tcW w:w="2239" w:type="dxa"/>
          </w:tcPr>
          <w:p w14:paraId="59C23A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FR-EMR-01~38</w:t>
            </w:r>
          </w:p>
        </w:tc>
        <w:tc>
          <w:tcPr>
            <w:tcW w:w="2239" w:type="dxa"/>
          </w:tcPr>
          <w:p w14:paraId="7D6269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</w:tr>
      <w:tr w14:paraId="4705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1FA7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财务与医保</w:t>
            </w:r>
          </w:p>
        </w:tc>
        <w:tc>
          <w:tcPr>
            <w:tcW w:w="2239" w:type="dxa"/>
          </w:tcPr>
          <w:p w14:paraId="07C608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URS-FIN-*</w:t>
            </w:r>
          </w:p>
        </w:tc>
        <w:tc>
          <w:tcPr>
            <w:tcW w:w="2239" w:type="dxa"/>
          </w:tcPr>
          <w:p w14:paraId="6DBBA8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FR-FIN-01~37</w:t>
            </w:r>
          </w:p>
        </w:tc>
        <w:tc>
          <w:tcPr>
            <w:tcW w:w="2239" w:type="dxa"/>
          </w:tcPr>
          <w:p w14:paraId="4F1D97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</w:tr>
      <w:tr w14:paraId="77D8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738F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患者中心</w:t>
            </w:r>
          </w:p>
        </w:tc>
        <w:tc>
          <w:tcPr>
            <w:tcW w:w="2239" w:type="dxa"/>
          </w:tcPr>
          <w:p w14:paraId="7883CE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URS-PAT-*</w:t>
            </w:r>
          </w:p>
        </w:tc>
        <w:tc>
          <w:tcPr>
            <w:tcW w:w="2239" w:type="dxa"/>
          </w:tcPr>
          <w:p w14:paraId="40103F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FR-PAT-01~11</w:t>
            </w:r>
          </w:p>
        </w:tc>
        <w:tc>
          <w:tcPr>
            <w:tcW w:w="2239" w:type="dxa"/>
          </w:tcPr>
          <w:p w14:paraId="14CB4D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</w:tr>
      <w:tr w14:paraId="6C5F4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523C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组织与资源</w:t>
            </w:r>
          </w:p>
        </w:tc>
        <w:tc>
          <w:tcPr>
            <w:tcW w:w="2239" w:type="dxa"/>
          </w:tcPr>
          <w:p w14:paraId="4494DD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URS-ORG-*</w:t>
            </w:r>
          </w:p>
        </w:tc>
        <w:tc>
          <w:tcPr>
            <w:tcW w:w="2239" w:type="dxa"/>
          </w:tcPr>
          <w:p w14:paraId="4441FE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FR-ORG-01~11</w:t>
            </w:r>
          </w:p>
        </w:tc>
        <w:tc>
          <w:tcPr>
            <w:tcW w:w="2239" w:type="dxa"/>
          </w:tcPr>
          <w:p w14:paraId="6C54D0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</w:tr>
      <w:tr w14:paraId="5EBF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F4356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物资设备</w:t>
            </w:r>
          </w:p>
        </w:tc>
        <w:tc>
          <w:tcPr>
            <w:tcW w:w="2239" w:type="dxa"/>
          </w:tcPr>
          <w:p w14:paraId="0D2F8C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URS-AST-*</w:t>
            </w:r>
          </w:p>
        </w:tc>
        <w:tc>
          <w:tcPr>
            <w:tcW w:w="2239" w:type="dxa"/>
          </w:tcPr>
          <w:p w14:paraId="2B1421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FR-AST-01~10</w:t>
            </w:r>
          </w:p>
        </w:tc>
        <w:tc>
          <w:tcPr>
            <w:tcW w:w="2239" w:type="dxa"/>
          </w:tcPr>
          <w:p w14:paraId="5BB4E3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</w:tr>
      <w:tr w14:paraId="7EA9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C923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远程医疗</w:t>
            </w:r>
          </w:p>
        </w:tc>
        <w:tc>
          <w:tcPr>
            <w:tcW w:w="2239" w:type="dxa"/>
          </w:tcPr>
          <w:p w14:paraId="44EDA8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URS-PAT-14</w:t>
            </w:r>
          </w:p>
        </w:tc>
        <w:tc>
          <w:tcPr>
            <w:tcW w:w="2239" w:type="dxa"/>
          </w:tcPr>
          <w:p w14:paraId="204654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FR-TEL-01~04</w:t>
            </w:r>
          </w:p>
        </w:tc>
        <w:tc>
          <w:tcPr>
            <w:tcW w:w="2239" w:type="dxa"/>
          </w:tcPr>
          <w:p w14:paraId="7D30EF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</w:tr>
      <w:tr w14:paraId="56DE4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B71F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健康管理（体检）</w:t>
            </w:r>
          </w:p>
        </w:tc>
        <w:tc>
          <w:tcPr>
            <w:tcW w:w="2239" w:type="dxa"/>
          </w:tcPr>
          <w:p w14:paraId="793AFC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URS-PAT-15</w:t>
            </w:r>
          </w:p>
        </w:tc>
        <w:tc>
          <w:tcPr>
            <w:tcW w:w="2239" w:type="dxa"/>
          </w:tcPr>
          <w:p w14:paraId="141D13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FR-CHK-01~04</w:t>
            </w:r>
          </w:p>
        </w:tc>
        <w:tc>
          <w:tcPr>
            <w:tcW w:w="2239" w:type="dxa"/>
          </w:tcPr>
          <w:p w14:paraId="0EC3FE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</w:tr>
      <w:tr w14:paraId="3470A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FD85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报表统计</w:t>
            </w:r>
          </w:p>
        </w:tc>
        <w:tc>
          <w:tcPr>
            <w:tcW w:w="2239" w:type="dxa"/>
          </w:tcPr>
          <w:p w14:paraId="3AF4A9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URS-RPT-*</w:t>
            </w:r>
          </w:p>
        </w:tc>
        <w:tc>
          <w:tcPr>
            <w:tcW w:w="2239" w:type="dxa"/>
          </w:tcPr>
          <w:p w14:paraId="7F48AD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FR-RPT-01~08</w:t>
            </w:r>
          </w:p>
        </w:tc>
        <w:tc>
          <w:tcPr>
            <w:tcW w:w="2239" w:type="dxa"/>
          </w:tcPr>
          <w:p w14:paraId="6F9959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</w:tr>
      <w:tr w14:paraId="225AF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5BA5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</w:t>
            </w:r>
          </w:p>
        </w:tc>
        <w:tc>
          <w:tcPr>
            <w:tcW w:w="2239" w:type="dxa"/>
          </w:tcPr>
          <w:p w14:paraId="5144DC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URS-SYS-*</w:t>
            </w:r>
          </w:p>
        </w:tc>
        <w:tc>
          <w:tcPr>
            <w:tcW w:w="2239" w:type="dxa"/>
          </w:tcPr>
          <w:p w14:paraId="29F095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FR-SYS-01~13</w:t>
            </w:r>
          </w:p>
        </w:tc>
        <w:tc>
          <w:tcPr>
            <w:tcW w:w="2239" w:type="dxa"/>
          </w:tcPr>
          <w:p w14:paraId="5A4683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</w:tr>
      <w:tr w14:paraId="6FF37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0E29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共性体验</w:t>
            </w:r>
          </w:p>
        </w:tc>
        <w:tc>
          <w:tcPr>
            <w:tcW w:w="2239" w:type="dxa"/>
          </w:tcPr>
          <w:p w14:paraId="0510FF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URS-COM-*</w:t>
            </w:r>
          </w:p>
        </w:tc>
        <w:tc>
          <w:tcPr>
            <w:tcW w:w="2239" w:type="dxa"/>
          </w:tcPr>
          <w:p w14:paraId="543C1B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§2~§6</w:t>
            </w:r>
          </w:p>
        </w:tc>
        <w:tc>
          <w:tcPr>
            <w:tcW w:w="2239" w:type="dxa"/>
          </w:tcPr>
          <w:p w14:paraId="397E67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21、22</w:t>
            </w:r>
          </w:p>
        </w:tc>
      </w:tr>
      <w:tr w14:paraId="6A9E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36D8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合规评审</w:t>
            </w:r>
          </w:p>
        </w:tc>
        <w:tc>
          <w:tcPr>
            <w:tcW w:w="2239" w:type="dxa"/>
          </w:tcPr>
          <w:p w14:paraId="47E569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URS-CMP-*</w:t>
            </w:r>
          </w:p>
        </w:tc>
        <w:tc>
          <w:tcPr>
            <w:tcW w:w="2239" w:type="dxa"/>
          </w:tcPr>
          <w:p w14:paraId="1DECD6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§7~§8</w:t>
            </w:r>
          </w:p>
        </w:tc>
        <w:tc>
          <w:tcPr>
            <w:tcW w:w="2239" w:type="dxa"/>
          </w:tcPr>
          <w:p w14:paraId="5CEDF3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</w:tr>
    </w:tbl>
    <w:p w14:paraId="4936C9B2">
      <w:pPr>
        <w:spacing w:after="40"/>
      </w:pPr>
    </w:p>
    <w:p w14:paraId="795FD020">
      <w:pPr>
        <w:pStyle w:val="3"/>
        <w:keepNext/>
        <w:spacing w:before="240" w:after="120"/>
      </w:pPr>
      <w:bookmarkStart w:id="40" w:name="_Toc32158"/>
      <w:r>
        <w:rPr>
          <w:rFonts w:ascii="Times New Roman" w:hAnsi="Times New Roman" w:eastAsia="黑体"/>
          <w:b/>
          <w:color w:val="000000"/>
          <w:sz w:val="32"/>
        </w:rPr>
        <w:t>8 诉求确认与变更管理</w:t>
      </w:r>
      <w:bookmarkEnd w:id="40"/>
    </w:p>
    <w:p w14:paraId="4A633A8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本文各角色诉求以《需求规格说明书》FR 条款为承接契约；</w:t>
      </w:r>
      <w:r>
        <w:rPr>
          <w:rFonts w:ascii="Times New Roman" w:hAnsi="Times New Roman" w:eastAsia="黑体"/>
          <w:b/>
          <w:sz w:val="21"/>
        </w:rPr>
        <w:t>新增诉求一律先入本文说明"谁、为什么"，再评审落为 FR 条款</w:t>
      </w:r>
      <w:r>
        <w:rPr>
          <w:rFonts w:ascii="Times New Roman" w:hAnsi="Times New Roman" w:eastAsia="宋体"/>
          <w:b w:val="0"/>
          <w:sz w:val="21"/>
        </w:rPr>
        <w:t>，禁止跳过需求层直接改设计与代码。</w:t>
      </w:r>
    </w:p>
    <w:p w14:paraId="4D37B3A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运行事件复盘（第 5 章）为</w:t>
      </w:r>
      <w:r>
        <w:rPr>
          <w:rFonts w:ascii="Times New Roman" w:hAnsi="Times New Roman" w:eastAsia="黑体"/>
          <w:b/>
          <w:sz w:val="21"/>
        </w:rPr>
        <w:t>只增不改</w:t>
      </w:r>
      <w:r>
        <w:rPr>
          <w:rFonts w:ascii="Times New Roman" w:hAnsi="Times New Roman" w:eastAsia="宋体"/>
          <w:b w:val="0"/>
          <w:sz w:val="21"/>
        </w:rPr>
        <w:t>条款：新事故按 5.x 格式追加，含日期与现象，作为 AGENTS.md 铁律的需求侧镜像。</w:t>
      </w:r>
    </w:p>
    <w:p w14:paraId="2CD26D1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口径类拍板（菜单顺序、分页旋钮、脱敏、岗位、收费四层、库存库位）已冻结为全站规范，任何页面或接口改造不得单点豁免；确需豁免的（如表单弹框防误关）须在代码注释中写明用户授权与原因。</w:t>
      </w:r>
    </w:p>
    <w:p w14:paraId="3798FF9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待决事项：全院排班扩展选档（小/中/大三档，见 URS-CMP-07）尚未拍板，本文如实记录意向、不预设结论。</w:t>
      </w:r>
    </w:p>
    <w:p w14:paraId="5078B35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本文档由 docs/用户需求说明书.md 装配生成 docx；如与仓库根 AGENTS.md 冲突，以 AGENTS.md 为准。</w:t>
      </w:r>
    </w:p>
    <w:sectPr>
      <w:headerReference r:id="rId5" w:type="default"/>
      <w:footerReference r:id="rId6" w:type="default"/>
      <w:pgSz w:w="11906" w:h="16838"/>
      <w:pgMar w:top="1587" w:right="1474" w:bottom="1361" w:left="1474" w:header="794" w:footer="680" w:gutter="0"/>
      <w:pgNumType w:fmt="numberInDash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66464">
    <w:pPr>
      <w:pStyle w:val="24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PAGE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NUMPAGES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4FDE0">
    <w:pPr>
      <w:pStyle w:val="25"/>
      <w:pBdr>
        <w:bottom w:val="single" w:color="888888" w:sz="6" w:space="1"/>
      </w:pBdr>
      <w:tabs>
        <w:tab w:val="right" w:pos="8958"/>
      </w:tabs>
      <w:spacing w:after="4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7ADC77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7ADC77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eastAsia="宋体"/>
        <w:sz w:val="18"/>
      </w:rPr>
      <w:t>长沙金洲大道天健云麓府不</w:t>
    </w:r>
    <w:bookmarkStart w:id="41" w:name="_GoBack"/>
    <w:bookmarkEnd w:id="41"/>
    <w:r>
      <w:rPr>
        <w:rFonts w:ascii="Times New Roman" w:hAnsi="Times New Roman" w:eastAsia="宋体"/>
        <w:sz w:val="18"/>
      </w:rPr>
      <w:t>知名公司</w:t>
    </w:r>
    <w:r>
      <w:rPr>
        <w:rFonts w:ascii="Times New Roman" w:hAnsi="Times New Roman" w:eastAsia="宋体"/>
        <w:sz w:val="18"/>
      </w:rPr>
      <w:tab/>
    </w:r>
    <w:r>
      <w:rPr>
        <w:rFonts w:ascii="Times New Roman" w:hAnsi="Times New Roman" w:eastAsia="宋体"/>
        <w:sz w:val="18"/>
      </w:rPr>
      <w:t>长沙不知名医院HIS用户需求说明书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1B4EBE"/>
    <w:rsid w:val="7AA5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2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236</Words>
  <Characters>328</Characters>
  <Lines>0</Lines>
  <Paragraphs>0</Paragraphs>
  <TotalTime>0</TotalTime>
  <ScaleCrop>false</ScaleCrop>
  <LinksUpToDate>false</LinksUpToDate>
  <CharactersWithSpaces>346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长沙金洲大道天健云麓府不知名公司</dc:creator>
  <dc:description>由 docs/用户需求说明书.md 装配生成</dc:description>
  <cp:lastModifiedBy>Hazelcast</cp:lastModifiedBy>
  <dcterms:modified xsi:type="dcterms:W3CDTF">2026-09-29T12:47:20Z</dcterms:modified>
  <dc:subject>用户需求说明书</dc:subject>
  <dc:title>长沙市麓康医院信息管理平台 用户需求说明书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eyJoZGlkIjoiNGRkOTdmNzQyYTE0MzAyMTQ3NmI3OTE3YWNhMGU0MmYiLCJ1c2VySWQiOiI2ODk5NzU0OTgifQ==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CD36034BBC33488392A490936E5200E5_12</vt:lpwstr>
  </property>
</Properties>
</file>