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after="192" w:line="384"/>
        <w:ind w:firstLine="480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24"/>
          <w:sz w:val="26"/>
        </w:rPr>
        <w:t>商用密码 · PKI/CA 能力评估</w:t>
      </w:r>
    </w:p>
    <w:p w14:paraId="00000002">
      <w:pPr>
        <w:spacing w:after="144" w:line="384"/>
        <w:ind w:firstLine="480"/>
        <w:jc w:val="center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2"/>
        </w:rPr>
        <w:t>从 csssl demo 到可盈利商业 CA</w:t>
      </w:r>
    </w:p>
    <w:p w14:paraId="00000003">
      <w:pPr>
        <w:spacing w:after="600" w:line="384"/>
        <w:ind w:firstLine="480"/>
        <w:jc w:val="center"/>
        <w:rPr>
          <w:color w:val="616161"/>
        </w:rPr>
      </w:pPr>
      <w:r>
        <w:rPr>
          <w:rFonts w:hint="eastAsia" w:ascii="SimHei" w:hAnsi="SimHei" w:eastAsia="SimHei" w:cs="SimHei"/>
          <w:b w:val="0"/>
          <w:color w:val="616161"/>
          <w:sz w:val="28"/>
        </w:rPr>
        <w:t>能力与合规差距分析</w:t>
      </w:r>
    </w:p>
    <w:p w14:paraId="00000004">
      <w:pPr>
        <w:spacing w:after="144" w:line="384"/>
        <w:ind w:firstLine="480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2"/>
        </w:rPr>
        <w:t>csssl 项目 | 2026-10-30 | v1.0</w:t>
      </w:r>
    </w:p>
    <w:p w14:paraId="00000005">
      <w:pPr>
        <w:spacing w:after="144" w:line="384"/>
        <w:ind w:firstLine="480"/>
        <w:jc w:val="center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目录</w:t>
      </w:r>
    </w:p>
    <w:p w14:paraId="00000006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一、CA 系统的真实价值构成</w:t>
      </w:r>
    </w:p>
    <w:p w14:paraId="00000007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1.1 代码只是入场券里最便宜的一张</w:t>
      </w:r>
    </w:p>
    <w:p w14:paraId="00000008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1.2 csssl 已实现的能力盘点</w:t>
      </w:r>
    </w:p>
    <w:p w14:paraId="00000009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1.3 商业 CA 的真正价值在代码之外</w:t>
      </w:r>
    </w:p>
    <w:p w14:paraId="0000000A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二、合规资质门槛（监管硬成本）</w:t>
      </w:r>
    </w:p>
    <w:p w14:paraId="0000000B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2.1 《电子认证服务管理办法》第五条</w:t>
      </w:r>
    </w:p>
    <w:p w14:paraId="0000000C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2.2 牌照之外：密评、等保、年审</w:t>
      </w:r>
    </w:p>
    <w:p w14:paraId="0000000D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2.3 根信任预置：WebTrust／ETSI 与信任库</w:t>
      </w:r>
    </w:p>
    <w:p w14:paraId="0000000E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三、csssl 现有能力盘点（与商用对照）</w:t>
      </w:r>
    </w:p>
    <w:p w14:paraId="0000000F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四、商业 CA 产品需补充的能力（差距清单）</w:t>
      </w:r>
    </w:p>
    <w:p w14:paraId="00000010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五、盈利模式</w:t>
      </w:r>
    </w:p>
    <w:p w14:paraId="00000011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5.1 证书年费与续费</w:t>
      </w:r>
    </w:p>
    <w:p w14:paraId="00000012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5.2 项目制方案收入</w:t>
      </w:r>
    </w:p>
    <w:p w14:paraId="00000013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5.3 时间戳/存证/司法增值</w:t>
      </w:r>
    </w:p>
    <w:p w14:paraId="00000014">
      <w:pPr>
        <w:numPr>
          <w:ilvl w:val="1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5.4 生态嵌入</w:t>
      </w:r>
    </w:p>
    <w:p w14:paraId="00000015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六、从 demo 到商用的路线图</w:t>
      </w:r>
    </w:p>
    <w:p w14:paraId="00000016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七、风险与提示</w:t>
      </w:r>
    </w:p>
    <w:p w14:paraId="00000017">
      <w:pPr>
        <w:numPr>
          <w:ilvl w:val="0"/>
          <w:numId w:val="1"/>
        </w:numPr>
        <w:pBdr>
          <w:left w:space="16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1565c0"/>
          <w:sz w:val="24"/>
        </w:rPr>
        <w:t>八、附录：参考依据</w:t>
      </w:r>
    </w:p>
    <w:p w14:paraId="00000018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9">
      <w:pPr>
        <w:pBdr>
          <w:left w:val="single" w:color="1565c0" w:sz="24"/>
        </w:pBdr>
        <w:shd w:val="clear" w:fill="eef4fb"/>
        <w:spacing w:after="144" w:line="384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28"/>
        </w:rPr>
        <w:t>执行摘要</w:t>
      </w:r>
    </w:p>
    <w:p w14:paraId="0000001A">
      <w:pPr>
        <w:pBdr>
          <w:left w:val="single" w:color="1565c0" w:sz="24"/>
        </w:pBdr>
        <w:shd w:val="clear" w:fill="eef4fb"/>
        <w:spacing w:after="38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CA 卖的不是代码，是"信任 + 合规资质 + 持续服务"。csssl 已是一套符合国标的 PKI/CA 参考实现（根密钥门限分持、CRL/OCSP/TSA、多机构、审计哈希链、分权角色），但走向可盈利商业 CA 还须叠加 HSM、自动化注册、根信任预置、CPS、保险与 7×24 运营。本文给出能力盘点、合规硬门槛事实、差距清单（含优先级与工作量估算）、盈利模式与路线图。关键认知：代码可几万块做，但持证运营门槛（注册资本 3000 万、30 人、屏蔽机房、密评等保）与"根被信任"的护城河才是本质区别，九成价值在代码之外。</w:t>
      </w:r>
    </w:p>
    <w:p w14:paraId="0000001B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" w:name="sec-1"/>
      <w:r>
        <w:rPr>
          <w:rFonts w:hint="eastAsia" w:ascii="SimHei" w:hAnsi="SimHei" w:eastAsia="SimHei" w:cs="SimHei"/>
          <w:b w:val="1"/>
          <w:color w:val="1a237e"/>
          <w:sz w:val="36"/>
        </w:rPr>
        <w:t>一、CA 系统的真实价值构成</w:t>
      </w:r>
      <w:bookmarkEnd w:id="1"/>
    </w:p>
    <w:p w14:paraId="0000001C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2" w:name="sec-1-1"/>
      <w:r>
        <w:rPr>
          <w:rFonts w:hint="eastAsia" w:ascii="SimHei" w:hAnsi="SimHei" w:eastAsia="SimHei" w:cs="SimHei"/>
          <w:b w:val="1"/>
          <w:color w:val="1565c0"/>
          <w:sz w:val="28"/>
        </w:rPr>
        <w:t>1.1 代码只是入场券里最便宜的一张</w:t>
      </w:r>
      <w:bookmarkEnd w:id="2"/>
    </w:p>
    <w:p w14:paraId="0000001D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一套能跑的 CA 内核（密钥管理、签发、吊销、CRL/OCSP）几万块就能写——csssl 就是现成例证。但"能签发"与"签出的证书被世界信任"之间，隔着一道几乎无法用代码填平的鸿沟。</w:t>
      </w:r>
    </w:p>
    <w:p w14:paraId="0000001E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3" w:name="sec-1-2"/>
      <w:r>
        <w:rPr>
          <w:rFonts w:hint="eastAsia" w:ascii="SimHei" w:hAnsi="SimHei" w:eastAsia="SimHei" w:cs="SimHei"/>
          <w:b w:val="1"/>
          <w:color w:val="1565c0"/>
          <w:sz w:val="28"/>
        </w:rPr>
        <w:t>1.2 csssl 已实现的能力盘点</w:t>
      </w:r>
      <w:bookmarkEnd w:id="3"/>
    </w:p>
    <w:p w14:paraId="0000001F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下表对照国标梳理 csssl 当前已具备的核心能力。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0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能力域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1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csssl 现状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对应标准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根密钥保管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根 CA 初始化（幂等）、SUB_CA、根私钥封存/解封、Shamir(3,5) 门限分持、份额离线下载/迁移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GM/T 0034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证书生命周期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在线签发 / CSR 签发 / 公钥签发、吊销（带原因）、挂起/解除(certificateHold)、更新、换密钥、PEM/PKCS#12 导出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GB/T 25056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吊销与状态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CRL 全量+增量 dCRL、标准 OCSP 响应器(RFC 6960)、在线证书链校验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B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RFC 5280 / 6960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可信时间戳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RFC 3161 盖章（独立 SM2 密钥）+ 公钥分发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GB/T 20520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2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多机构/多租户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每机构独立根 CA+SUB_CA+份额，机构开/暂停/恢复/关闭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1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RA 工作流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提交→审核→签发→撤销，审核人≠提交人(SoD)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GM/T 0034 §5.2.2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防篡改审计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每条记录签名+哈希链、链对账、CSV+SM2 签名归档(≥5年)、仅审计员可见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GB/T 25056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管理员体系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11 预置角色+自定义角色，权限点目录，分权制衡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3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GM/T 0034 §8.1.3</w:t>
            </w:r>
          </w:p>
        </w:tc>
      </w:tr>
    </w:tbl>
    <w:p w14:paraId="0000003B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4" w:name="sec-1-3"/>
      <w:r>
        <w:rPr>
          <w:rFonts w:hint="eastAsia" w:ascii="SimHei" w:hAnsi="SimHei" w:eastAsia="SimHei" w:cs="SimHei"/>
          <w:b w:val="1"/>
          <w:color w:val="1565c0"/>
          <w:sz w:val="28"/>
        </w:rPr>
        <w:t>1.3 商业 CA 的真正价值在代码之外</w:t>
      </w:r>
      <w:bookmarkEnd w:id="4"/>
    </w:p>
    <w:p w14:paraId="0000003C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信任（根被预置）</w:t>
      </w:r>
      <w:r>
        <w:rPr>
          <w:rFonts w:hint="eastAsia" w:ascii="SimSun" w:hAnsi="SimSun" w:eastAsia="SimSun" w:cs="SimSun"/>
          <w:color w:val="212121"/>
          <w:sz w:val="24"/>
        </w:rPr>
        <w:t>：你的根证书要进入浏览器和操作系统信任库，否则签出的证书浏览器直接报红。这是垄断性护城河。</w:t>
      </w:r>
    </w:p>
    <w:p w14:paraId="0000003D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合规资质</w:t>
      </w:r>
      <w:r>
        <w:rPr>
          <w:rFonts w:hint="eastAsia" w:ascii="SimSun" w:hAnsi="SimSun" w:eastAsia="SimSun" w:cs="SimSun"/>
          <w:color w:val="212121"/>
          <w:sz w:val="24"/>
        </w:rPr>
        <w:t>：《电子认证服务许可证》、密码使用许可证、密评、等保——没有这些，证书无法律效力。</w:t>
      </w:r>
    </w:p>
    <w:p w14:paraId="0000003E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持续服务</w:t>
      </w:r>
      <w:r>
        <w:rPr>
          <w:rFonts w:hint="eastAsia" w:ascii="SimSun" w:hAnsi="SimSun" w:eastAsia="SimSun" w:cs="SimSun"/>
          <w:color w:val="212121"/>
          <w:sz w:val="24"/>
        </w:rPr>
        <w:t>：HSM 硬件保护、CRL/OCSP 高可用、7×24 运营、SLA、事件响应、证书保险（warranty）。</w:t>
      </w:r>
    </w:p>
    <w:p w14:paraId="0000003F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5" w:name="sec-2"/>
      <w:r>
        <w:rPr>
          <w:rFonts w:hint="eastAsia" w:ascii="SimHei" w:hAnsi="SimHei" w:eastAsia="SimHei" w:cs="SimHei"/>
          <w:b w:val="1"/>
          <w:color w:val="1a237e"/>
          <w:sz w:val="36"/>
        </w:rPr>
        <w:t>二、合规资质门槛（监管硬成本）</w:t>
      </w:r>
      <w:bookmarkEnd w:id="5"/>
    </w:p>
    <w:p w14:paraId="00000040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6" w:name="sec-2-1"/>
      <w:r>
        <w:rPr>
          <w:rFonts w:hint="eastAsia" w:ascii="SimHei" w:hAnsi="SimHei" w:eastAsia="SimHei" w:cs="SimHei"/>
          <w:b w:val="1"/>
          <w:color w:val="1565c0"/>
          <w:sz w:val="28"/>
        </w:rPr>
        <w:t>2.1 《电子认证服务管理办法》第五条（工信部）</w:t>
      </w:r>
      <w:bookmarkEnd w:id="6"/>
    </w:p>
    <w:p w14:paraId="00000041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要成为向社会公众提供服务的电子认证服务机构，必须同时满足：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条件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3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企业法人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具有独立的企业法人资格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专业人员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技术/运营/安全/客服四类不少于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2"/>
              </w:rPr>
              <w:t>30 名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注册资本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不低于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2"/>
              </w:rPr>
              <w:t>人民币 3000 万元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经营场所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固定场所 + 满足要求的物理环境（核心屏蔽机房、消防/防雷/检测验收）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技术设备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符合国家有关安全标准的技术和设备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密码证明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4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国家密码管理机构同意使用密码的证明文件</w:t>
            </w:r>
          </w:p>
        </w:tc>
      </w:tr>
      <w:tr>
        <w:trPr/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许可证</w:t>
            </w:r>
          </w:p>
        </w:tc>
        <w:tc>
          <w:tcPr>
            <w:tcW w:w="4153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 xml:space="preserve">《电子认证服务许可证》有效期 </w:t>
            </w:r>
            <w:r>
              <w:rPr>
                <w:rFonts w:hint="eastAsia" w:ascii="SimSun" w:hAnsi="SimSun" w:eastAsia="SimSun" w:cs="SimSun"/>
                <w:b w:val="1"/>
                <w:color w:val="212121"/>
                <w:sz w:val="22"/>
              </w:rPr>
              <w:t>5 年</w:t>
            </w:r>
            <w:r>
              <w:rPr>
                <w:rFonts w:hint="eastAsia" w:ascii="SimSun" w:hAnsi="SimSun" w:eastAsia="SimSun" w:cs="SimSun"/>
                <w:color w:val="212121"/>
                <w:sz w:val="22"/>
              </w:rPr>
              <w:t>，到期重审</w:t>
            </w:r>
          </w:p>
        </w:tc>
      </w:tr>
    </w:tbl>
    <w:p w14:paraId="0000005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tcMar>
              <w:top w:w="120" w:type="dxa"/>
              <w:bottom w:w="120" w:type="dxa"/>
            </w:tcMar>
            <w:vAlign w:val="center"/>
          </w:tcPr>
          <w:p w14:paraId="0000005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仅"合法持牌"这一关，硬成本就不止几万——3000 万注册资本只是最低线，实际运营（机房、设备、人员、审计）远高于此。</w:t>
            </w:r>
          </w:p>
        </w:tc>
      </w:tr>
    </w:tbl>
    <w:p w14:paraId="00000054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7" w:name="sec-2-2"/>
      <w:r>
        <w:rPr>
          <w:rFonts w:hint="eastAsia" w:ascii="SimHei" w:hAnsi="SimHei" w:eastAsia="SimHei" w:cs="SimHei"/>
          <w:b w:val="1"/>
          <w:color w:val="1565c0"/>
          <w:sz w:val="28"/>
        </w:rPr>
        <w:t>2.2 牌照之外：密评、等保、年审</w:t>
      </w:r>
      <w:bookmarkEnd w:id="7"/>
    </w:p>
    <w:p w14:paraId="00000055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商用密码应用安全性评估（密评）</w:t>
      </w:r>
      <w:r>
        <w:rPr>
          <w:rFonts w:hint="eastAsia" w:ascii="SimSun" w:hAnsi="SimSun" w:eastAsia="SimSun" w:cs="SimSun"/>
          <w:color w:val="212121"/>
          <w:sz w:val="24"/>
        </w:rPr>
        <w:t>：根 CA 密钥进密码机通常是硬性要求。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等级保护（等保）</w:t>
      </w:r>
      <w:r>
        <w:rPr>
          <w:rFonts w:hint="eastAsia" w:ascii="SimSun" w:hAnsi="SimSun" w:eastAsia="SimSun" w:cs="SimSun"/>
          <w:color w:val="212121"/>
          <w:sz w:val="24"/>
        </w:rPr>
        <w:t>：系统定级与测评。</w:t>
      </w:r>
      <w:r>
        <w:rPr>
          <w:rFonts w:hint="eastAsia" w:ascii="SimSun" w:hAnsi="SimSun" w:eastAsia="SimSun" w:cs="SimSun"/>
          <w:b w:val="1"/>
          <w:color w:val="212121"/>
          <w:sz w:val="24"/>
        </w:rPr>
        <w:t>年审与持续合规</w:t>
      </w:r>
      <w:r>
        <w:rPr>
          <w:rFonts w:hint="eastAsia" w:ascii="SimSun" w:hAnsi="SimSun" w:eastAsia="SimSun" w:cs="SimSun"/>
          <w:color w:val="212121"/>
          <w:sz w:val="24"/>
        </w:rPr>
        <w:t>：许可证 5 年一换，期间接受持续监管。</w:t>
      </w:r>
    </w:p>
    <w:p w14:paraId="00000056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8" w:name="sec-2-3"/>
      <w:r>
        <w:rPr>
          <w:rFonts w:hint="eastAsia" w:ascii="SimHei" w:hAnsi="SimHei" w:eastAsia="SimHei" w:cs="SimHei"/>
          <w:b w:val="1"/>
          <w:color w:val="1565c0"/>
          <w:sz w:val="28"/>
        </w:rPr>
        <w:t>2.3 根信任预置：WebTrust／ETSI 与信任库</w:t>
      </w:r>
      <w:bookmarkEnd w:id="8"/>
    </w:p>
    <w:p w14:paraId="00000057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要被浏览器/OS 信任，需过 </w:t>
      </w:r>
      <w:r>
        <w:rPr>
          <w:rFonts w:ascii="SimSun" w:hAnsi="SimSun" w:eastAsia="SimSun" w:cs="SimSun"/>
          <w:b w:val="1"/>
          <w:color w:val="212121"/>
          <w:sz w:val="24"/>
        </w:rPr>
        <w:t>WebTrust</w:t>
      </w:r>
      <w:r>
        <w:rPr>
          <w:rFonts w:hint="eastAsia" w:ascii="SimSun" w:hAnsi="SimSun" w:eastAsia="SimSun" w:cs="SimSun"/>
          <w:color w:val="212121"/>
          <w:sz w:val="24"/>
        </w:rPr>
        <w:t xml:space="preserve"> 或 </w:t>
      </w:r>
      <w:r>
        <w:rPr>
          <w:rFonts w:ascii="SimSun" w:hAnsi="SimSun" w:eastAsia="SimSun" w:cs="SimSun"/>
          <w:b w:val="1"/>
          <w:color w:val="212121"/>
          <w:sz w:val="24"/>
        </w:rPr>
        <w:t>ETSI</w:t>
      </w:r>
      <w:r>
        <w:rPr>
          <w:rFonts w:hint="eastAsia" w:ascii="SimSun" w:hAnsi="SimSun" w:eastAsia="SimSun" w:cs="SimSun"/>
          <w:color w:val="212121"/>
          <w:sz w:val="24"/>
        </w:rPr>
        <w:t xml:space="preserve"> 审计、遵守 </w:t>
      </w:r>
      <w:r>
        <w:rPr>
          <w:rFonts w:ascii="SimSun" w:hAnsi="SimSun" w:eastAsia="SimSun" w:cs="SimSun"/>
          <w:b w:val="1"/>
          <w:color w:val="212121"/>
          <w:sz w:val="24"/>
        </w:rPr>
        <w:t>CA/Browser Forum</w:t>
      </w:r>
      <w:r>
        <w:rPr>
          <w:rFonts w:hint="eastAsia" w:ascii="SimSun" w:hAnsi="SimSun" w:eastAsia="SimSun" w:cs="SimSun"/>
          <w:color w:val="212121"/>
          <w:sz w:val="24"/>
        </w:rPr>
        <w:t xml:space="preserve"> 基线要求，过程以"年"计且需持续年审；证书还需带 </w:t>
      </w:r>
      <w:r>
        <w:rPr>
          <w:rFonts w:hint="eastAsia" w:ascii="SimSun" w:hAnsi="SimSun" w:eastAsia="SimSun" w:cs="SimSun"/>
          <w:b w:val="1"/>
          <w:color w:val="212121"/>
          <w:sz w:val="24"/>
        </w:rPr>
        <w:t>warranty（赔付）</w:t>
      </w:r>
      <w:r>
        <w:rPr>
          <w:rFonts w:hint="eastAsia" w:ascii="SimSun" w:hAnsi="SimSun" w:eastAsia="SimSun" w:cs="SimSun"/>
          <w:color w:val="212121"/>
          <w:sz w:val="24"/>
        </w:rPr>
        <w:t>（国际 CA 单证保险可达百万美元级）。这一层"信任"一旦建立即形成垄断护城河——客户不会因后台界面好看就换 CA。</w:t>
      </w:r>
    </w:p>
    <w:p w14:paraId="00000058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9" w:name="sec-3"/>
      <w:r>
        <w:rPr>
          <w:rFonts w:hint="eastAsia" w:ascii="SimHei" w:hAnsi="SimHei" w:eastAsia="SimHei" w:cs="SimHei"/>
          <w:b w:val="1"/>
          <w:color w:val="1a237e"/>
          <w:sz w:val="36"/>
        </w:rPr>
        <w:t>三、csssl 现有能力盘点（与商用对照）</w:t>
      </w:r>
      <w:bookmarkEnd w:id="9"/>
    </w:p>
    <w:p w14:paraId="00000059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第一节的表格已列出 csssl 已具备的核心能力。需要强调的是：</w:t>
      </w:r>
      <w:r>
        <w:rPr>
          <w:rFonts w:hint="eastAsia" w:ascii="SimSun" w:hAnsi="SimSun" w:eastAsia="SimSun" w:cs="SimSun"/>
          <w:b w:val="1"/>
          <w:color w:val="212121"/>
          <w:sz w:val="24"/>
        </w:rPr>
        <w:t>它不"弱"，但定位是合规参考/教学实现，不是商业 CA 产品</w:t>
      </w:r>
      <w:r>
        <w:rPr>
          <w:rFonts w:hint="eastAsia" w:ascii="SimSun" w:hAnsi="SimSun" w:eastAsia="SimSun" w:cs="SimSun"/>
          <w:color w:val="212121"/>
          <w:sz w:val="24"/>
        </w:rPr>
        <w:t>。在密码学内核上，它与商用产品的差距主要在"生产化"与"信任"两个维度，而非功能有无。</w:t>
      </w:r>
    </w:p>
    <w:p w14:paraId="0000005A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0" w:name="sec-4"/>
      <w:r>
        <w:rPr>
          <w:rFonts w:hint="eastAsia" w:ascii="SimHei" w:hAnsi="SimHei" w:eastAsia="SimHei" w:cs="SimHei"/>
          <w:b w:val="1"/>
          <w:color w:val="1a237e"/>
          <w:sz w:val="36"/>
        </w:rPr>
        <w:t>四、商业 CA 产品需补充的能力（差距清单）</w:t>
      </w:r>
      <w:bookmarkEnd w:id="10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B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序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C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差距项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说明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E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优先级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5F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工作量(人月)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0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1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HSM/密码机集成(PKCS#11)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根密钥由密码机硬件保护，满足密评；软加密落盘不可用于商用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2–4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5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2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CMP/EST/SCEP 自动化注册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设备/IoT 大规模发证必需；当前仅有"人工提交→审核"工作流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3–6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A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3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根证书入信任库申请与维护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WebTrust/ETSI 审计、CA/B Forum 合规、浏览器/OS 信任库预置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高(长周期)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6–12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6F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4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CPS 认证业务声明+法律文本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对外法律承诺文件，持证必备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中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1–2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4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5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证书保险(warranty)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商业 CA 对证书效力的赔付背书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中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1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9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6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KMC 密钥归档与恢复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加密证书私钥恢复，当前未见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中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2–4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E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7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7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证书 AIA/SIA 扩展+LDAP/OCSP 发布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让依赖方真正可用 CRL/OCSP（crlDistributionPoints、authorityInfoAccess）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2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1–3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8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7×24 运营/SLA/事件响应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高可用 CRL/OCSP 集群、监控、应急预案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7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4–8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8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9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交叉认证/Bridge CA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跨信任域互信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低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2–4</w:t>
            </w:r>
          </w:p>
        </w:tc>
      </w:tr>
      <w:tr>
        <w:trPr/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D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2"/>
              </w:rPr>
              <w:t>10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监管报送/等保密评整改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8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持证后持续合规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9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高</w:t>
            </w:r>
          </w:p>
        </w:tc>
        <w:tc>
          <w:tcPr>
            <w:tcW w:w="1661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9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持续</w:t>
            </w:r>
          </w:p>
        </w:tc>
      </w:tr>
    </w:tbl>
    <w:p w14:paraId="0000009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tcMar>
              <w:top w:w="120" w:type="dxa"/>
              <w:bottom w:w="120" w:type="dxa"/>
            </w:tcMar>
            <w:vAlign w:val="center"/>
          </w:tcPr>
          <w:p w14:paraId="0000009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注：工作量仅为工程侧粗估，不含资质申请周期与法务/审计外部成本。</w:t>
            </w:r>
          </w:p>
        </w:tc>
      </w:tr>
    </w:tbl>
    <w:p w14:paraId="00000094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1" w:name="sec-5"/>
      <w:r>
        <w:rPr>
          <w:rFonts w:hint="eastAsia" w:ascii="SimHei" w:hAnsi="SimHei" w:eastAsia="SimHei" w:cs="SimHei"/>
          <w:b w:val="1"/>
          <w:color w:val="1a237e"/>
          <w:sz w:val="36"/>
        </w:rPr>
        <w:t>五、盈利模式</w:t>
      </w:r>
      <w:bookmarkEnd w:id="11"/>
    </w:p>
    <w:p w14:paraId="00000095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12" w:name="sec-5-1"/>
      <w:r>
        <w:rPr>
          <w:rFonts w:hint="eastAsia" w:ascii="SimHei" w:hAnsi="SimHei" w:eastAsia="SimHei" w:cs="SimHei"/>
          <w:b w:val="1"/>
          <w:color w:val="1565c0"/>
          <w:sz w:val="28"/>
        </w:rPr>
        <w:t>5.1 证书年费与续费（稳定现金流）</w:t>
      </w:r>
      <w:bookmarkEnd w:id="12"/>
    </w:p>
    <w:p w14:paraId="00000096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数字证书按年收费、年年续费，形成可预测的经常性收入。2026 年公开单价区间：DV 证书 100–300 元/年，OV 600–1600 元/年，EV 1800–5000 元/年，国密 SSL 500–14000 元/年。批发侧 CA 抽成是主要部分。</w:t>
      </w:r>
    </w:p>
    <w:p w14:paraId="00000097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13" w:name="sec-5-2"/>
      <w:r>
        <w:rPr>
          <w:rFonts w:hint="eastAsia" w:ascii="SimHei" w:hAnsi="SimHei" w:eastAsia="SimHei" w:cs="SimHei"/>
          <w:b w:val="1"/>
          <w:color w:val="1565c0"/>
          <w:sz w:val="28"/>
        </w:rPr>
        <w:t>5.2 项目制方案收入</w:t>
      </w:r>
      <w:bookmarkEnd w:id="13"/>
    </w:p>
    <w:p w14:paraId="00000098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为政府/医院/金融等大客户做集成（软硬件+定制+运维），单笔金额高，走招投标。</w:t>
      </w:r>
    </w:p>
    <w:p w14:paraId="00000099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14" w:name="sec-5-3"/>
      <w:r>
        <w:rPr>
          <w:rFonts w:hint="eastAsia" w:ascii="SimHei" w:hAnsi="SimHei" w:eastAsia="SimHei" w:cs="SimHei"/>
          <w:b w:val="1"/>
          <w:color w:val="1565c0"/>
          <w:sz w:val="28"/>
        </w:rPr>
        <w:t>5.3 时间戳/存证/司法增值</w:t>
      </w:r>
      <w:bookmarkEnd w:id="14"/>
    </w:p>
    <w:p w14:paraId="0000009A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一次信任、多次变现：RFC 3161 时间戳、电子存证、司法鉴定对接。</w:t>
      </w:r>
    </w:p>
    <w:p w14:paraId="0000009B">
      <w:pPr>
        <w:pStyle w:val="000003"/>
        <w:keepNext w:val="1"/>
        <w:keepLines w:val="1"/>
        <w:spacing w:before="264" w:beforeAutospacing="1" w:after="120" w:afterAutospacing="1" w:line="384"/>
        <w:outlineLvl w:val="1"/>
        <w:rPr>
          <w:color w:val="1565c0"/>
          <w:sz w:val="32"/>
          <w:szCs w:val="32"/>
        </w:rPr>
      </w:pPr>
      <w:bookmarkStart w:id="15" w:name="sec-5-4"/>
      <w:r>
        <w:rPr>
          <w:rFonts w:hint="eastAsia" w:ascii="SimHei" w:hAnsi="SimHei" w:eastAsia="SimHei" w:cs="SimHei"/>
          <w:b w:val="1"/>
          <w:color w:val="1565c0"/>
          <w:sz w:val="28"/>
        </w:rPr>
        <w:t>5.4 生态嵌入</w:t>
      </w:r>
      <w:bookmarkEnd w:id="15"/>
    </w:p>
    <w:p w14:paraId="0000009C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将签发能力嵌入华为云/腾讯云/阿里云等平台及 OA/ERP/电子签 ISV，借渠道获得规模。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9D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收入来源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9E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形态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9F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数字证书年费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按年/续费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复购现金流，客户合同期长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电子签名 SaaS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调用量/订阅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电子合同、电子病历、招投标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项目制方案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软硬件+定制+运维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单笔高金额，走招投标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时间戳/存证/司法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增值服务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一次信任多次变现</w:t>
            </w:r>
          </w:p>
        </w:tc>
      </w:tr>
      <w:tr>
        <w:trPr/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生态嵌入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平台/ISV 合作</w:t>
            </w:r>
          </w:p>
        </w:tc>
        <w:tc>
          <w:tcPr>
            <w:tcW w:w="2768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A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渠道规模效应</w:t>
            </w:r>
          </w:p>
        </w:tc>
      </w:tr>
    </w:tbl>
    <w:p w14:paraId="000000AF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参考：A 股数字认证（300579）等头部企业年营收达</w:t>
      </w:r>
      <w:r>
        <w:rPr>
          <w:rFonts w:hint="eastAsia" w:ascii="SimSun" w:hAnsi="SimSun" w:eastAsia="SimSun" w:cs="SimSun"/>
          <w:b w:val="1"/>
          <w:color w:val="212121"/>
          <w:sz w:val="24"/>
        </w:rPr>
        <w:t>十几亿</w:t>
      </w:r>
      <w:r>
        <w:rPr>
          <w:rFonts w:hint="eastAsia" w:ascii="SimSun" w:hAnsi="SimSun" w:eastAsia="SimSun" w:cs="SimSun"/>
          <w:color w:val="212121"/>
          <w:sz w:val="24"/>
        </w:rPr>
        <w:t>量级——盈利空间很大，但前提是"你是被信任的根"。</w:t>
      </w:r>
    </w:p>
    <w:p w14:paraId="000000B0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6" w:name="sec-6"/>
      <w:r>
        <w:rPr>
          <w:rFonts w:hint="eastAsia" w:ascii="SimHei" w:hAnsi="SimHei" w:eastAsia="SimHei" w:cs="SimHei"/>
          <w:b w:val="1"/>
          <w:color w:val="1a237e"/>
          <w:sz w:val="36"/>
        </w:rPr>
        <w:t>六、从 demo 到商用的路线图</w:t>
      </w:r>
      <w:bookmarkEnd w:id="1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1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阶段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2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目标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3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关键交付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4">
            <w:pPr>
              <w:rPr>
                <w:b w:val="1"/>
                <w:bCs w:val="1"/>
                <w:color w:val="212121"/>
              </w:rPr>
            </w:pPr>
            <w:r>
              <w:rPr>
                <w:rFonts w:hint="eastAsia" w:ascii="SimHei" w:hAnsi="SimHei" w:eastAsia="SimHei" w:cs="SimHei"/>
                <w:b w:val="1"/>
                <w:color w:val="212121"/>
                <w:sz w:val="22"/>
              </w:rPr>
              <w:t>周期</w:t>
            </w:r>
          </w:p>
        </w:tc>
      </w:tr>
      <w:tr>
        <w:trPr/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5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阶段0 合规准备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6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持牌与资质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7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注册资本/人员/屏蔽机房到位、密码使用许可、密评/等保定级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6–18 个月(含申请)</w:t>
            </w:r>
          </w:p>
        </w:tc>
      </w:tr>
      <w:tr>
        <w:trPr/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9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阶段1 生产化密码学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A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满足密评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B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HSM 集成、CRL/OCSP 高可用、AIA/SIA 扩展、KMC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C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3–6 个月</w:t>
            </w:r>
          </w:p>
        </w:tc>
      </w:tr>
      <w:tr>
        <w:trPr/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D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阶段2 自动化与信任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规模发证+被信任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BF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CMP/EST/SCEP、根信任库申请(WebTrust)、交叉认证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C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6–12 个月</w:t>
            </w:r>
          </w:p>
        </w:tc>
      </w:tr>
      <w:tr>
        <w:trPr/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C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阶段3 运营与商业化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C2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可持续盈利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C3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CPS、证书保险、SLA/事件响应、生态嵌入</w:t>
            </w:r>
          </w:p>
        </w:tc>
        <w:tc>
          <w:tcPr>
            <w:tcW w:w="2076" w:type="dxa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0000C4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2"/>
              </w:rPr>
              <w:t>持续</w:t>
            </w:r>
          </w:p>
        </w:tc>
      </w:tr>
    </w:tbl>
    <w:p w14:paraId="000000C5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7" w:name="sec-7"/>
      <w:r>
        <w:rPr>
          <w:rFonts w:hint="eastAsia" w:ascii="SimHei" w:hAnsi="SimHei" w:eastAsia="SimHei" w:cs="SimHei"/>
          <w:b w:val="1"/>
          <w:color w:val="1a237e"/>
          <w:sz w:val="36"/>
        </w:rPr>
        <w:t>七、风险与提示</w:t>
      </w:r>
      <w:bookmarkEnd w:id="17"/>
    </w:p>
    <w:p w14:paraId="000000C6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代码可以很便宜，持证运营很贵</w:t>
      </w:r>
      <w:r>
        <w:rPr>
          <w:rFonts w:hint="eastAsia" w:ascii="SimSun" w:hAnsi="SimSun" w:eastAsia="SimSun" w:cs="SimSun"/>
          <w:color w:val="212121"/>
          <w:sz w:val="24"/>
        </w:rPr>
        <w:t>：几万块能写一套 CA 内核，但 3000 万注册资本、30 人团队、屏蔽机房、密评等保是绕不过的硬成本。</w:t>
      </w:r>
    </w:p>
    <w:p w14:paraId="000000C7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最大护城河是"根被信任"</w:t>
      </w:r>
      <w:r>
        <w:rPr>
          <w:rFonts w:hint="eastAsia" w:ascii="SimSun" w:hAnsi="SimSun" w:eastAsia="SimSun" w:cs="SimSun"/>
          <w:color w:val="212121"/>
          <w:sz w:val="24"/>
        </w:rPr>
        <w:t>：浏览器/OS 信任库预置 + WebTrust 审计，钱和时间都难买。换根意味着所有已签证书失效。</w:t>
      </w:r>
    </w:p>
    <w:p w14:paraId="000000C8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九成价值在代码之外</w:t>
      </w:r>
      <w:r>
        <w:rPr>
          <w:rFonts w:hint="eastAsia" w:ascii="SimSun" w:hAnsi="SimSun" w:eastAsia="SimSun" w:cs="SimSun"/>
          <w:color w:val="212121"/>
          <w:sz w:val="24"/>
        </w:rPr>
        <w:t>：HSM、自动化注册、根信任、保险、运营——这些才是商业 CA 与 demo 的本质区别。</w:t>
      </w:r>
    </w:p>
    <w:p w14:paraId="000000C9">
      <w:pPr>
        <w:pStyle w:val="000001"/>
        <w:keepNext w:val="1"/>
        <w:keepLines w:val="1"/>
        <w:spacing w:before="384" w:beforeAutospacing="1" w:after="144" w:afterAutospacing="1" w:line="384"/>
        <w:outlineLvl w:val="0"/>
        <w:rPr>
          <w:color w:val="1a237e"/>
          <w:kern w:val="44"/>
          <w:sz w:val="44"/>
          <w:szCs w:val="44"/>
        </w:rPr>
      </w:pPr>
      <w:bookmarkStart w:id="18" w:name="sec-8"/>
      <w:r>
        <w:rPr>
          <w:rFonts w:hint="eastAsia" w:ascii="SimHei" w:hAnsi="SimHei" w:eastAsia="SimHei" w:cs="SimHei"/>
          <w:b w:val="1"/>
          <w:color w:val="1a237e"/>
          <w:sz w:val="36"/>
        </w:rPr>
        <w:t>八、附录：参考依据</w:t>
      </w:r>
      <w:bookmarkEnd w:id="18"/>
    </w:p>
    <w:p w14:paraId="000000CA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《电子认证服务管理办法》（工业和信息化部令第 29 号，2015 修订）第五条、第六条。</w:t>
      </w:r>
    </w:p>
    <w:p w14:paraId="000000CB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数字认证（300579）公开经营分析：主营业务、盈利模式、牌照与资质壁垒。</w:t>
      </w:r>
    </w:p>
    <w:p w14:paraId="000000CC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2026 年 SSL 证书公开报价区间（DV/OV/EV/国密）。</w:t>
      </w:r>
    </w:p>
    <w:p w14:paraId="000000CD">
      <w:pPr>
        <w:spacing w:after="144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相关国标：GM/T 0034-2014、GB/T 25056-2018、GB/T 20520、RFC 5280/6960/3161。</w:t>
      </w:r>
    </w:p>
    <w:p w14:paraId="000000CE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CF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er" w:semiHidden="1" w:unhideWhenUsed="1"/>
    <w:lsdException w:name="List 4" w:semiHidden="1" w:unhideWhenUsed="1"/>
    <w:lsdException w:name="table of figures" w:semiHidden="1" w:unhideWhenUsed="1"/>
    <w:lsdException w:name="caption" w:uiPriority="35" w:semiHidden="1" w:unhideWhenUsed="1" w:qFormat="1"/>
    <w:lsdException w:name="toc 6" w:uiPriority="39" w:semiHidden="1" w:unhideWhenUsed="1"/>
    <w:lsdException w:name="Body Text 2" w:semiHidden="1" w:unhideWhenUsed="1"/>
    <w:lsdException w:name="List" w:semiHidden="1" w:unhideWhenUsed="1"/>
    <w:lsdException w:name="Body Text Indent 3" w:semiHidden="1" w:unhideWhenUsed="1"/>
    <w:lsdException w:name="List Number 4" w:semiHidden="1" w:unhideWhenUsed="1"/>
    <w:lsdException w:name="List Bullet 4" w:semiHidden="1" w:unhideWhenUsed="1"/>
    <w:lsdException w:name="index 7" w:semiHidden="1" w:unhideWhenUsed="1"/>
    <w:lsdException w:name="footnote text" w:semiHidden="1" w:unhideWhenUsed="1"/>
    <w:lsdException w:name="List Continue 4" w:semiHidden="1" w:unhideWhenUsed="1"/>
    <w:lsdException w:name="toa heading" w:semiHidden="1" w:unhideWhenUsed="1"/>
    <w:lsdException w:name="toc 7" w:uiPriority="39" w:semiHidden="1" w:unhideWhenUsed="1"/>
    <w:lsdException w:name="footer" w:semiHidden="1" w:unhideWhenUsed="1"/>
    <w:lsdException w:name="List Continue" w:semiHidden="1" w:unhideWhenUsed="1"/>
    <w:lsdException w:name="toc 1" w:uiPriority="39" w:semiHidden="1" w:unhideWhenUsed="1"/>
    <w:lsdException w:name="List Number" w:semiHidden="1" w:unhideWhenUsed="1"/>
    <w:lsdException w:name="List Bullet 5" w:semiHidden="1" w:unhideWhenUsed="1"/>
    <w:lsdException w:name="List Number 3" w:semiHidden="1" w:unhideWhenUsed="1"/>
    <w:lsdException w:name="annotation reference" w:semiHidden="1" w:unhideWhenUsed="1"/>
    <w:lsdException w:name="Body Text" w:semiHidden="1" w:unhideWhenUsed="1"/>
    <w:lsdException w:name="List Bullet 3" w:semiHidden="1" w:unhideWhenUsed="1"/>
    <w:lsdException w:name="index 2" w:semiHidden="1" w:unhideWhenUsed="1"/>
    <w:lsdException w:name="List Continue 2" w:semiHidden="1" w:unhideWhenUsed="1"/>
    <w:lsdException w:name="index 8" w:semiHidden="1" w:unhideWhenUsed="1"/>
    <w:lsdException w:name="Body Text First Indent 2" w:semiHidden="1" w:unhideWhenUsed="1"/>
    <w:lsdException w:name="heading 4" w:uiPriority="9" w:semiHidden="1" w:unhideWhenUsed="1" w:qFormat="1"/>
    <w:lsdException w:name="Signature" w:semiHidden="1" w:unhideWhenUsed="1"/>
    <w:lsdException w:name="List 3" w:semiHidden="1" w:unhideWhenUsed="1"/>
    <w:lsdException w:name="heading 1" w:uiPriority="9" w:qFormat="1"/>
    <w:lsdException w:name="index 9" w:semiHidden="1" w:unhideWhenUsed="1"/>
    <w:lsdException w:name="index 1" w:semiHidden="1" w:unhideWhenUsed="1"/>
    <w:lsdException w:name="endnote text" w:semiHidden="1" w:unhideWhenUsed="1"/>
    <w:lsdException w:name="Body Text Indent" w:semiHidden="1" w:unhideWhenUsed="1"/>
    <w:lsdException w:name="heading 9" w:uiPriority="9" w:semiHidden="1" w:unhideWhenUsed="1" w:qFormat="1"/>
    <w:lsdException w:name="Normal Indent" w:semiHidden="1" w:unhideWhenUsed="1"/>
    <w:lsdException w:name="heading 6" w:uiPriority="9" w:semiHidden="1" w:unhideWhenUsed="1" w:qFormat="1"/>
    <w:lsdException w:name="Date" w:semiHidden="1" w:unhideWhenUsed="1"/>
    <w:lsdException w:name="FollowedHyperlink" w:semiHidden="1" w:unhideWhenUsed="1"/>
    <w:lsdException w:name="List Number 5" w:semiHidden="1" w:unhideWhenUsed="1"/>
    <w:lsdException w:name="index 4" w:semiHidden="1" w:unhideWhenUsed="1"/>
    <w:lsdException w:name="Note Heading" w:semiHidden="1" w:unhideWhenUsed="1"/>
    <w:lsdException w:name="index heading" w:semiHidden="1" w:unhideWhenUsed="1"/>
    <w:lsdException w:name="index 6" w:semiHidden="1" w:unhideWhenUsed="1"/>
    <w:lsdException w:name="table of authorities" w:semiHidden="1" w:unhideWhenUsed="1"/>
    <w:lsdException w:name="Body Text Indent 2" w:semiHidden="1" w:unhideWhenUsed="1"/>
    <w:lsdException w:name="heading 2" w:uiPriority="9" w:semiHidden="1" w:unhideWhenUsed="1" w:qFormat="1"/>
    <w:lsdException w:name="Subtitle" w:uiPriority="11" w:qFormat="1"/>
    <w:lsdException w:name="page number" w:semiHidden="1" w:unhideWhenUsed="1"/>
    <w:lsdException w:name="macro" w:semiHidden="1" w:unhideWhenUsed="1"/>
    <w:lsdException w:name="index 3" w:semiHidden="1" w:unhideWhenUsed="1"/>
    <w:lsdException w:name="index 5" w:semiHidden="1" w:unhideWhenUsed="1"/>
    <w:lsdException w:name="toc 9" w:uiPriority="39" w:semiHidden="1" w:unhideWhenUsed="1"/>
    <w:lsdException w:name="Strong" w:uiPriority="22" w:qFormat="1"/>
    <w:lsdException w:name="annotation text" w:semiHidden="1" w:unhideWhenUsed="1"/>
    <w:lsdException w:name="heading 3" w:uiPriority="9" w:semiHidden="1" w:unhideWhenUsed="1" w:qFormat="1"/>
    <w:lsdException w:name="envelope address" w:semiHidden="1" w:unhideWhenUsed="1"/>
    <w:lsdException w:name="toc 4" w:uiPriority="39" w:semiHidden="1" w:unhideWhenUsed="1"/>
    <w:lsdException w:name="List Continue 3" w:semiHidden="1" w:unhideWhenUsed="1"/>
    <w:lsdException w:name="Normal" w:uiPriority="0" w:qFormat="1"/>
    <w:lsdException w:name="Message Header" w:semiHidden="1" w:unhideWhenUsed="1"/>
    <w:lsdException w:name="line number" w:semiHidden="1" w:unhideWhenUsed="1"/>
    <w:lsdException w:name="heading 8" w:uiPriority="9" w:semiHidden="1" w:unhideWhenUsed="1" w:qFormat="1"/>
    <w:lsdException w:name="heading 5" w:uiPriority="9" w:semiHidden="1" w:unhideWhenUsed="1" w:qFormat="1"/>
    <w:lsdException w:name="envelope return" w:semiHidden="1" w:unhideWhenUsed="1"/>
    <w:lsdException w:name="Block Text" w:semiHidden="1" w:unhideWhenUsed="1"/>
    <w:lsdException w:name="List 2" w:semiHidden="1" w:unhideWhenUsed="1"/>
    <w:lsdException w:name="List Number 2" w:semiHidden="1" w:unhideWhenUsed="1"/>
    <w:lsdException w:name="Title" w:uiPriority="10" w:qFormat="1"/>
    <w:lsdException w:name="Closing" w:semiHidden="1" w:unhideWhenUsed="1"/>
    <w:lsdException w:name="Hyperlink" w:semiHidden="1" w:unhideWhenUsed="1"/>
    <w:lsdException w:name="Body Text First Indent" w:semiHidden="1" w:unhideWhenUsed="1"/>
    <w:lsdException w:name="Default Paragraph Font" w:uiPriority="1" w:semiHidden="1" w:unhideWhenUsed="1"/>
    <w:lsdException w:name="List 5" w:semiHidden="1" w:unhideWhenUsed="1"/>
    <w:lsdException w:name="Body Text 3" w:semiHidden="1" w:unhideWhenUsed="1"/>
    <w:lsdException w:name="List Bullet" w:semiHidden="1" w:unhideWhenUsed="1"/>
    <w:lsdException w:name="List Continue 5" w:semiHidden="1" w:unhideWhenUsed="1"/>
    <w:lsdException w:name="toc 2" w:uiPriority="39" w:semiHidden="1" w:unhideWhenUsed="1"/>
    <w:lsdException w:name="toc 8" w:uiPriority="39" w:semiHidden="1" w:unhideWhenUsed="1"/>
    <w:lsdException w:name="Salutation" w:semiHidden="1" w:unhideWhenUsed="1"/>
    <w:lsdException w:name="toc 5" w:uiPriority="39" w:semiHidden="1" w:unhideWhenUsed="1"/>
    <w:lsdException w:name="List Bullet 2" w:semiHidden="1" w:unhideWhenUsed="1"/>
    <w:lsdException w:name="endnote reference" w:semiHidden="1" w:unhideWhenUsed="1"/>
    <w:lsdException w:name="toc 3" w:uiPriority="39" w:semiHidden="1" w:unhideWhenUsed="1"/>
    <w:lsdException w:name="heading 7" w:uiPriority="9" w:semiHidden="1" w:unhideWhenUsed="1" w:qFormat="1"/>
    <w:lsdException w:name="footnote reference" w:semiHidden="1" w:unhideWhenUsed="1"/>
  </w:latentStyles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f5wpxo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2026-10-30T10:18:32Z</dcterms:created>
  <dcterms:modified xsi:type="dcterms:W3CDTF">2026-10-30T10:18:32Z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"01a18a8a0f487ca2bbbba86e6b6b03db", "ReservedCode1": "", "ContentPropagator": "00119111010856365494821B355", "PropagateID": "01a18a8a0f487ca2bbbba86e6b6b03db", "ReservedCode2": ""}}</vt:lpwstr>
  </property>
</Properties>
</file>