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614B" w14:textId="2DCDFE3C" w:rsidR="00354EFB" w:rsidRPr="00EB0149" w:rsidRDefault="008D19EB" w:rsidP="008D19EB">
      <w:pPr>
        <w:pStyle w:val="berschrift2"/>
      </w:pPr>
      <w:r w:rsidRPr="00EB0149">
        <w:t>Introduction</w:t>
      </w:r>
    </w:p>
    <w:p w14:paraId="529F1AA3" w14:textId="71B44297" w:rsidR="008D19EB" w:rsidRPr="00BF15AE" w:rsidRDefault="000F42FE" w:rsidP="008D19EB">
      <w:r>
        <w:t xml:space="preserve">The photosystems of plant cells are central to our understanding of plant metabolism. A vital component is the hill reaction which has been discovered by Hill in 1937. </w:t>
      </w:r>
      <w:r w:rsidR="002E69E0">
        <w:t xml:space="preserve">In this step, the electrons from water are transferred to an electron acceptor releasing oxygen in the process. For this purpose, </w:t>
      </w:r>
      <w:r w:rsidR="009C3190">
        <w:t xml:space="preserve">we reduced the blue dye 2,6-dichlorophenolindophenol (DCPIP) into its colourless form. To illustrate interruption of the electron chain we used the blocking agents </w:t>
      </w:r>
      <w:proofErr w:type="spellStart"/>
      <w:r w:rsidR="009C3190">
        <w:t>Dichlorphenyldimethylurea</w:t>
      </w:r>
      <w:proofErr w:type="spellEnd"/>
      <w:r w:rsidR="009C3190">
        <w:t xml:space="preserve"> (DCMU) and </w:t>
      </w:r>
      <w:proofErr w:type="spellStart"/>
      <w:r w:rsidR="009C3190">
        <w:t>Atrazin</w:t>
      </w:r>
      <w:proofErr w:type="spellEnd"/>
      <w:r w:rsidR="009C3190">
        <w:t>.</w:t>
      </w:r>
    </w:p>
    <w:p w14:paraId="3CEE8645" w14:textId="25A1CEDF" w:rsidR="008D19EB" w:rsidRPr="00BF15AE" w:rsidRDefault="008D19EB" w:rsidP="008D19EB">
      <w:pPr>
        <w:pStyle w:val="berschrift2"/>
      </w:pPr>
      <w:r w:rsidRPr="00BF15AE">
        <w:t>Hypothesis</w:t>
      </w:r>
    </w:p>
    <w:p w14:paraId="656C7685" w14:textId="55FDCED5" w:rsidR="008D19EB" w:rsidRPr="00BF15AE" w:rsidRDefault="009C3190" w:rsidP="008D19EB">
      <w:r>
        <w:t>No reduction of DCPIP should occur if the block agents are present.</w:t>
      </w:r>
    </w:p>
    <w:p w14:paraId="0BB9546F" w14:textId="24F7AF2F" w:rsidR="008D19EB" w:rsidRPr="00BF15AE" w:rsidRDefault="008D19EB" w:rsidP="008D19EB">
      <w:pPr>
        <w:pStyle w:val="berschrift2"/>
      </w:pPr>
      <w:r w:rsidRPr="00BF15AE">
        <w:t>Methods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53D3" w14:paraId="6845F6F0" w14:textId="77777777" w:rsidTr="009753D3">
        <w:tc>
          <w:tcPr>
            <w:tcW w:w="4531" w:type="dxa"/>
          </w:tcPr>
          <w:p w14:paraId="4EE3B236" w14:textId="53538D9A" w:rsidR="009753D3" w:rsidRPr="009753D3" w:rsidRDefault="009753D3" w:rsidP="008D19EB">
            <w:pPr>
              <w:rPr>
                <w:b/>
              </w:rPr>
            </w:pPr>
            <w:r>
              <w:rPr>
                <w:b/>
              </w:rPr>
              <w:t>Medium A</w:t>
            </w:r>
          </w:p>
        </w:tc>
        <w:tc>
          <w:tcPr>
            <w:tcW w:w="4531" w:type="dxa"/>
          </w:tcPr>
          <w:p w14:paraId="1038A606" w14:textId="144FBFB2" w:rsidR="009753D3" w:rsidRPr="009753D3" w:rsidRDefault="009753D3" w:rsidP="008D19EB">
            <w:pPr>
              <w:rPr>
                <w:b/>
              </w:rPr>
            </w:pPr>
            <w:r>
              <w:rPr>
                <w:b/>
              </w:rPr>
              <w:t>Medium B</w:t>
            </w:r>
          </w:p>
        </w:tc>
      </w:tr>
      <w:tr w:rsidR="009753D3" w14:paraId="6CCDEB3E" w14:textId="77777777" w:rsidTr="009753D3">
        <w:tc>
          <w:tcPr>
            <w:tcW w:w="4531" w:type="dxa"/>
          </w:tcPr>
          <w:p w14:paraId="2338BC56" w14:textId="77777777" w:rsidR="009753D3" w:rsidRDefault="009753D3" w:rsidP="008D19EB">
            <w:r>
              <w:t>0.33 M sorbitol</w:t>
            </w:r>
          </w:p>
          <w:p w14:paraId="3FB90D12" w14:textId="77777777" w:rsidR="009753D3" w:rsidRDefault="009753D3" w:rsidP="008D19EB">
            <w:r>
              <w:t xml:space="preserve">30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KCl</w:t>
            </w:r>
            <w:proofErr w:type="spellEnd"/>
          </w:p>
          <w:p w14:paraId="5D9515AC" w14:textId="77777777" w:rsidR="009753D3" w:rsidRDefault="009753D3" w:rsidP="008D19EB">
            <w:r>
              <w:t xml:space="preserve">5 </w:t>
            </w:r>
            <w:proofErr w:type="spellStart"/>
            <w:r>
              <w:t>mM</w:t>
            </w:r>
            <w:proofErr w:type="spellEnd"/>
            <w:r>
              <w:t xml:space="preserve"> </w:t>
            </w:r>
            <w:proofErr w:type="spellStart"/>
            <w:r>
              <w:t>NaCl</w:t>
            </w:r>
            <w:proofErr w:type="spellEnd"/>
          </w:p>
          <w:p w14:paraId="4C792F2D" w14:textId="77777777" w:rsidR="009753D3" w:rsidRPr="00F714B9" w:rsidRDefault="009753D3" w:rsidP="008D19EB">
            <w:pPr>
              <w:rPr>
                <w:lang w:val="de-CH"/>
              </w:rPr>
            </w:pPr>
            <w:r w:rsidRPr="00F714B9">
              <w:rPr>
                <w:lang w:val="de-CH"/>
              </w:rPr>
              <w:t xml:space="preserve">25 </w:t>
            </w:r>
            <w:proofErr w:type="spellStart"/>
            <w:r w:rsidRPr="00F714B9">
              <w:rPr>
                <w:lang w:val="de-CH"/>
              </w:rPr>
              <w:t>mM</w:t>
            </w:r>
            <w:proofErr w:type="spellEnd"/>
            <w:r w:rsidRPr="00F714B9">
              <w:rPr>
                <w:lang w:val="de-CH"/>
              </w:rPr>
              <w:t xml:space="preserve"> </w:t>
            </w:r>
            <w:proofErr w:type="spellStart"/>
            <w:r w:rsidRPr="00F714B9">
              <w:rPr>
                <w:lang w:val="de-CH"/>
              </w:rPr>
              <w:t>Hepes</w:t>
            </w:r>
            <w:proofErr w:type="spellEnd"/>
            <w:r w:rsidRPr="00F714B9">
              <w:rPr>
                <w:lang w:val="de-CH"/>
              </w:rPr>
              <w:t>-KOH pH 7.6</w:t>
            </w:r>
          </w:p>
          <w:p w14:paraId="2E324CE7" w14:textId="77777777" w:rsidR="009753D3" w:rsidRPr="00F714B9" w:rsidRDefault="009753D3" w:rsidP="008D19EB">
            <w:pPr>
              <w:rPr>
                <w:lang w:val="de-CH"/>
              </w:rPr>
            </w:pPr>
            <w:r w:rsidRPr="00F714B9">
              <w:rPr>
                <w:lang w:val="de-CH"/>
              </w:rPr>
              <w:t xml:space="preserve">2 </w:t>
            </w:r>
            <w:proofErr w:type="spellStart"/>
            <w:r w:rsidRPr="00F714B9">
              <w:rPr>
                <w:lang w:val="de-CH"/>
              </w:rPr>
              <w:t>mM</w:t>
            </w:r>
            <w:proofErr w:type="spellEnd"/>
            <w:r w:rsidRPr="00F714B9">
              <w:rPr>
                <w:lang w:val="de-CH"/>
              </w:rPr>
              <w:t xml:space="preserve"> EDTA</w:t>
            </w:r>
          </w:p>
          <w:p w14:paraId="399633EC" w14:textId="77777777" w:rsidR="009753D3" w:rsidRDefault="009753D3" w:rsidP="008D19EB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MgCl</w:t>
            </w:r>
            <w:r>
              <w:rPr>
                <w:vertAlign w:val="subscript"/>
              </w:rPr>
              <w:t>2</w:t>
            </w:r>
          </w:p>
          <w:p w14:paraId="329424A8" w14:textId="77777777" w:rsidR="009753D3" w:rsidRDefault="009753D3" w:rsidP="008D19EB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MnCl</w:t>
            </w:r>
            <w:r>
              <w:rPr>
                <w:vertAlign w:val="subscript"/>
              </w:rPr>
              <w:t>2</w:t>
            </w:r>
          </w:p>
          <w:p w14:paraId="3DA41DBC" w14:textId="77777777" w:rsidR="009753D3" w:rsidRDefault="009753D3" w:rsidP="008D19EB">
            <w:r>
              <w:t xml:space="preserve">0.5 </w:t>
            </w:r>
            <w:proofErr w:type="spellStart"/>
            <w:r>
              <w:t>mM</w:t>
            </w:r>
            <w:proofErr w:type="spellEnd"/>
            <w:r>
              <w:t xml:space="preserve"> KH</w:t>
            </w:r>
            <w:r>
              <w:rPr>
                <w:vertAlign w:val="subscript"/>
              </w:rPr>
              <w:t>2</w:t>
            </w:r>
            <w:r>
              <w:t>PO</w:t>
            </w:r>
            <w:r>
              <w:rPr>
                <w:vertAlign w:val="subscript"/>
              </w:rPr>
              <w:t>4</w:t>
            </w:r>
          </w:p>
          <w:p w14:paraId="63B47FCC" w14:textId="77777777" w:rsidR="009753D3" w:rsidRDefault="009753D3" w:rsidP="008D19EB">
            <w:r>
              <w:t xml:space="preserve">5 </w:t>
            </w:r>
            <w:proofErr w:type="spellStart"/>
            <w:r>
              <w:t>mM</w:t>
            </w:r>
            <w:proofErr w:type="spellEnd"/>
            <w:r>
              <w:t xml:space="preserve"> ascorbate</w:t>
            </w:r>
          </w:p>
          <w:p w14:paraId="5F1F4F52" w14:textId="550486FC" w:rsidR="009753D3" w:rsidRPr="009753D3" w:rsidRDefault="009753D3" w:rsidP="008D19EB">
            <w:r>
              <w:t xml:space="preserve">4 </w:t>
            </w:r>
            <w:proofErr w:type="spellStart"/>
            <w:r>
              <w:t>mM</w:t>
            </w:r>
            <w:proofErr w:type="spellEnd"/>
            <w:r>
              <w:t xml:space="preserve"> cysteine</w:t>
            </w:r>
          </w:p>
        </w:tc>
        <w:tc>
          <w:tcPr>
            <w:tcW w:w="4531" w:type="dxa"/>
          </w:tcPr>
          <w:p w14:paraId="72AE9E4F" w14:textId="77777777" w:rsidR="009753D3" w:rsidRPr="00F714B9" w:rsidRDefault="009753D3" w:rsidP="008D19EB">
            <w:pPr>
              <w:rPr>
                <w:lang w:val="de-CH"/>
              </w:rPr>
            </w:pPr>
            <w:r w:rsidRPr="00F714B9">
              <w:rPr>
                <w:lang w:val="de-CH"/>
              </w:rPr>
              <w:t xml:space="preserve">30 </w:t>
            </w:r>
            <w:proofErr w:type="spellStart"/>
            <w:r w:rsidRPr="00F714B9">
              <w:rPr>
                <w:lang w:val="de-CH"/>
              </w:rPr>
              <w:t>mM</w:t>
            </w:r>
            <w:proofErr w:type="spellEnd"/>
            <w:r w:rsidRPr="00F714B9">
              <w:rPr>
                <w:lang w:val="de-CH"/>
              </w:rPr>
              <w:t xml:space="preserve"> KCl</w:t>
            </w:r>
          </w:p>
          <w:p w14:paraId="0032FB79" w14:textId="77777777" w:rsidR="009753D3" w:rsidRPr="00F714B9" w:rsidRDefault="009753D3" w:rsidP="008D19EB">
            <w:pPr>
              <w:rPr>
                <w:lang w:val="de-CH"/>
              </w:rPr>
            </w:pPr>
            <w:r w:rsidRPr="00F714B9">
              <w:rPr>
                <w:lang w:val="de-CH"/>
              </w:rPr>
              <w:t xml:space="preserve">5 </w:t>
            </w:r>
            <w:proofErr w:type="spellStart"/>
            <w:r w:rsidRPr="00F714B9">
              <w:rPr>
                <w:lang w:val="de-CH"/>
              </w:rPr>
              <w:t>mM</w:t>
            </w:r>
            <w:proofErr w:type="spellEnd"/>
            <w:r w:rsidRPr="00F714B9">
              <w:rPr>
                <w:lang w:val="de-CH"/>
              </w:rPr>
              <w:t xml:space="preserve"> NaCl</w:t>
            </w:r>
          </w:p>
          <w:p w14:paraId="46FF30EE" w14:textId="77777777" w:rsidR="009753D3" w:rsidRPr="00F714B9" w:rsidRDefault="009753D3" w:rsidP="008D19EB">
            <w:pPr>
              <w:rPr>
                <w:lang w:val="de-CH"/>
              </w:rPr>
            </w:pPr>
            <w:r w:rsidRPr="00F714B9">
              <w:rPr>
                <w:lang w:val="de-CH"/>
              </w:rPr>
              <w:t xml:space="preserve">25 </w:t>
            </w:r>
            <w:proofErr w:type="spellStart"/>
            <w:r w:rsidRPr="00F714B9">
              <w:rPr>
                <w:lang w:val="de-CH"/>
              </w:rPr>
              <w:t>mM</w:t>
            </w:r>
            <w:proofErr w:type="spellEnd"/>
            <w:r w:rsidRPr="00F714B9">
              <w:rPr>
                <w:lang w:val="de-CH"/>
              </w:rPr>
              <w:t xml:space="preserve"> </w:t>
            </w:r>
            <w:proofErr w:type="spellStart"/>
            <w:r w:rsidRPr="00F714B9">
              <w:rPr>
                <w:lang w:val="de-CH"/>
              </w:rPr>
              <w:t>Hepes</w:t>
            </w:r>
            <w:proofErr w:type="spellEnd"/>
            <w:r w:rsidRPr="00F714B9">
              <w:rPr>
                <w:lang w:val="de-CH"/>
              </w:rPr>
              <w:t>-KOH pH 7.6</w:t>
            </w:r>
          </w:p>
          <w:p w14:paraId="7C1779F7" w14:textId="77777777" w:rsidR="009753D3" w:rsidRDefault="009753D3" w:rsidP="008D19EB">
            <w:r>
              <w:t xml:space="preserve">2 </w:t>
            </w:r>
            <w:proofErr w:type="spellStart"/>
            <w:r>
              <w:t>mM</w:t>
            </w:r>
            <w:proofErr w:type="spellEnd"/>
            <w:r>
              <w:t xml:space="preserve"> EDTA</w:t>
            </w:r>
          </w:p>
          <w:p w14:paraId="173BD634" w14:textId="77777777" w:rsidR="009753D3" w:rsidRDefault="009753D3" w:rsidP="008D19EB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MgCl</w:t>
            </w:r>
            <w:r>
              <w:rPr>
                <w:vertAlign w:val="subscript"/>
              </w:rPr>
              <w:t>2</w:t>
            </w:r>
          </w:p>
          <w:p w14:paraId="4F32D97A" w14:textId="48BE9EA9" w:rsidR="009753D3" w:rsidRPr="009753D3" w:rsidRDefault="009753D3" w:rsidP="008D19EB">
            <w:r>
              <w:t xml:space="preserve">1 </w:t>
            </w:r>
            <w:proofErr w:type="spellStart"/>
            <w:r>
              <w:t>mM</w:t>
            </w:r>
            <w:proofErr w:type="spellEnd"/>
            <w:r>
              <w:t xml:space="preserve"> MnCl</w:t>
            </w:r>
            <w:r>
              <w:rPr>
                <w:vertAlign w:val="subscript"/>
              </w:rPr>
              <w:t>2</w:t>
            </w:r>
          </w:p>
        </w:tc>
      </w:tr>
    </w:tbl>
    <w:p w14:paraId="00B69925" w14:textId="372AD064" w:rsidR="008D19EB" w:rsidRDefault="009753D3" w:rsidP="008D19EB">
      <w:r>
        <w:rPr>
          <w:i/>
        </w:rPr>
        <w:t xml:space="preserve">Table 1. </w:t>
      </w:r>
      <w:r>
        <w:t xml:space="preserve">Medium B was used to extract </w:t>
      </w:r>
    </w:p>
    <w:p w14:paraId="00894B7F" w14:textId="67F692AD" w:rsidR="00F714B9" w:rsidRDefault="00F714B9" w:rsidP="008D19EB">
      <w:r>
        <w:t xml:space="preserve">Fresh pea leaves were added to Medium A in the mixer and blended subsequently. Leaves were filtrated through a layer of cloth (wettened with Medium A). The chloroplast suspension was distributed in 50 ml centrifuge tubes. After spinning each tube for </w:t>
      </w:r>
      <w:r w:rsidR="004A1273">
        <w:t>5</w:t>
      </w:r>
      <w:r>
        <w:t xml:space="preserve"> minutes in a precooled centrifuge at 2000 g (4000 rpm; SS34 Rotor) the supernatant was discarded.</w:t>
      </w:r>
      <w:r w:rsidR="00BB6A52">
        <w:t xml:space="preserve"> The </w:t>
      </w:r>
      <w:r w:rsidR="00154847">
        <w:t xml:space="preserve">chloroplasts were resuspended in 20 ml Medium B and left on ice for </w:t>
      </w:r>
      <w:r w:rsidR="004A1273">
        <w:t>4</w:t>
      </w:r>
      <w:r w:rsidR="00154847">
        <w:t xml:space="preserve"> minutes.</w:t>
      </w:r>
      <w:r w:rsidR="004A1273">
        <w:t xml:space="preserve"> After spinning the suspension for 5 minutes at 3000 rpm the supernatant was discarded. The thylakoids were resuspended in 5 ml Medium B and left in the dark for 5 mins.</w:t>
      </w:r>
      <w:r>
        <w:t xml:space="preserve"> </w:t>
      </w:r>
      <w:r w:rsidR="004A1273">
        <w:t>We prepared an extinction series for DCMU (in 10% ethanol) making solutions with the following concentrations:</w:t>
      </w:r>
      <w:r w:rsidR="00F804C5" w:rsidRPr="00F804C5">
        <w:t xml:space="preserve"> 5 x 10</w:t>
      </w:r>
      <w:r w:rsidR="00F804C5" w:rsidRPr="00F804C5">
        <w:rPr>
          <w:vertAlign w:val="superscript"/>
        </w:rPr>
        <w:t>-5</w:t>
      </w:r>
      <w:r w:rsidR="00F804C5" w:rsidRPr="00F804C5">
        <w:t>, 5 x 10</w:t>
      </w:r>
      <w:r w:rsidR="00F804C5" w:rsidRPr="00F804C5">
        <w:rPr>
          <w:vertAlign w:val="superscript"/>
        </w:rPr>
        <w:t>-6</w:t>
      </w:r>
      <w:r w:rsidR="00F804C5">
        <w:t>,</w:t>
      </w:r>
      <w:r w:rsidR="00F804C5" w:rsidRPr="00F804C5">
        <w:t xml:space="preserve"> 5 x 10</w:t>
      </w:r>
      <w:r w:rsidR="00F804C5" w:rsidRPr="00F804C5">
        <w:rPr>
          <w:vertAlign w:val="superscript"/>
        </w:rPr>
        <w:t>-7</w:t>
      </w:r>
      <w:r w:rsidR="00F804C5" w:rsidRPr="00F804C5">
        <w:t xml:space="preserve"> </w:t>
      </w:r>
      <w:r w:rsidR="00F804C5">
        <w:t>and</w:t>
      </w:r>
      <w:r w:rsidR="00F804C5" w:rsidRPr="00F804C5">
        <w:t xml:space="preserve"> 5 x 10</w:t>
      </w:r>
      <w:r w:rsidR="00F804C5" w:rsidRPr="00F804C5">
        <w:rPr>
          <w:vertAlign w:val="superscript"/>
        </w:rPr>
        <w:t>-8</w:t>
      </w:r>
      <w:r w:rsidR="00F804C5" w:rsidRPr="00F804C5">
        <w:t xml:space="preserve"> M</w:t>
      </w:r>
      <w:r w:rsidR="00F804C5">
        <w:t xml:space="preserve">. Analogously, we prepared an extinction series for </w:t>
      </w:r>
      <w:r w:rsidR="0090134A">
        <w:t>atrazine</w:t>
      </w:r>
      <w:r w:rsidR="00F804C5">
        <w:t xml:space="preserve"> (in 100% ethanol) in the same fashion. </w:t>
      </w:r>
    </w:p>
    <w:p w14:paraId="16089AA4" w14:textId="650E5884" w:rsidR="008D19EB" w:rsidRPr="00BF15AE" w:rsidRDefault="008D19EB" w:rsidP="008D19EB">
      <w:pPr>
        <w:pStyle w:val="berschrift2"/>
      </w:pPr>
      <w:r w:rsidRPr="00BF15AE"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B0579" w14:paraId="48351E26" w14:textId="77777777" w:rsidTr="00DB0579">
        <w:tc>
          <w:tcPr>
            <w:tcW w:w="2122" w:type="dxa"/>
          </w:tcPr>
          <w:p w14:paraId="4B1037AF" w14:textId="008D7170" w:rsidR="00DB0579" w:rsidRDefault="00DB0579" w:rsidP="008D19EB">
            <w:r>
              <w:t>Extinction [M</w:t>
            </w:r>
            <w:r>
              <w:rPr>
                <w:vertAlign w:val="superscript"/>
              </w:rPr>
              <w:t>-1</w:t>
            </w:r>
            <w:r>
              <w:t xml:space="preserve"> cm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</w:tr>
      <w:tr w:rsidR="00DB0579" w14:paraId="7BF9FD23" w14:textId="77777777" w:rsidTr="00DB0579">
        <w:tc>
          <w:tcPr>
            <w:tcW w:w="2122" w:type="dxa"/>
          </w:tcPr>
          <w:p w14:paraId="38D26F06" w14:textId="2D072675" w:rsidR="00DB0579" w:rsidRDefault="008308F1" w:rsidP="00DB0579">
            <w:pPr>
              <w:jc w:val="right"/>
            </w:pPr>
            <w:r>
              <w:t xml:space="preserve"> </w:t>
            </w:r>
            <w:r w:rsidR="00DB0579">
              <w:t>0.876</w:t>
            </w:r>
          </w:p>
        </w:tc>
      </w:tr>
      <w:tr w:rsidR="00DB0579" w14:paraId="4EA264E0" w14:textId="77777777" w:rsidTr="00DB0579">
        <w:tc>
          <w:tcPr>
            <w:tcW w:w="2122" w:type="dxa"/>
          </w:tcPr>
          <w:p w14:paraId="40711E40" w14:textId="731B62B7" w:rsidR="00DB0579" w:rsidRDefault="00DB0579" w:rsidP="00DB0579">
            <w:pPr>
              <w:jc w:val="right"/>
            </w:pPr>
            <w:r>
              <w:t>0.717</w:t>
            </w:r>
          </w:p>
        </w:tc>
      </w:tr>
      <w:tr w:rsidR="00DB0579" w14:paraId="1D5C04D1" w14:textId="77777777" w:rsidTr="00DB0579">
        <w:tc>
          <w:tcPr>
            <w:tcW w:w="2122" w:type="dxa"/>
          </w:tcPr>
          <w:p w14:paraId="4704C73B" w14:textId="7436CE8B" w:rsidR="00DB0579" w:rsidRDefault="00DB0579" w:rsidP="00DB0579">
            <w:pPr>
              <w:jc w:val="right"/>
            </w:pPr>
            <w:r>
              <w:t>0.871</w:t>
            </w:r>
          </w:p>
        </w:tc>
      </w:tr>
      <w:tr w:rsidR="00DB0579" w14:paraId="7DE2755E" w14:textId="77777777" w:rsidTr="00DB0579">
        <w:tc>
          <w:tcPr>
            <w:tcW w:w="2122" w:type="dxa"/>
          </w:tcPr>
          <w:p w14:paraId="6E318C5B" w14:textId="1C5FDA4B" w:rsidR="00DB0579" w:rsidRDefault="00DB0579" w:rsidP="00DB0579">
            <w:pPr>
              <w:jc w:val="right"/>
            </w:pPr>
            <w:r>
              <w:t>0.736</w:t>
            </w:r>
          </w:p>
        </w:tc>
      </w:tr>
      <w:tr w:rsidR="00DB0579" w14:paraId="4A5035DB" w14:textId="77777777" w:rsidTr="00DB0579">
        <w:tc>
          <w:tcPr>
            <w:tcW w:w="2122" w:type="dxa"/>
          </w:tcPr>
          <w:p w14:paraId="73BD9028" w14:textId="0D42584A" w:rsidR="00DB0579" w:rsidRDefault="00DB0579" w:rsidP="00DB0579">
            <w:pPr>
              <w:jc w:val="right"/>
            </w:pPr>
            <w:r>
              <w:t>0.933</w:t>
            </w:r>
          </w:p>
        </w:tc>
      </w:tr>
      <w:tr w:rsidR="00DB0579" w14:paraId="5FF8B6A7" w14:textId="77777777" w:rsidTr="00DB0579">
        <w:tc>
          <w:tcPr>
            <w:tcW w:w="2122" w:type="dxa"/>
          </w:tcPr>
          <w:p w14:paraId="022EFEFC" w14:textId="1D3DA781" w:rsidR="00DB0579" w:rsidRDefault="00DB0579" w:rsidP="00DB0579">
            <w:pPr>
              <w:jc w:val="right"/>
            </w:pPr>
            <w:r>
              <w:t>1.004</w:t>
            </w:r>
          </w:p>
        </w:tc>
      </w:tr>
      <w:tr w:rsidR="00DB0579" w14:paraId="5BC752E1" w14:textId="77777777" w:rsidTr="00DB0579">
        <w:tc>
          <w:tcPr>
            <w:tcW w:w="2122" w:type="dxa"/>
          </w:tcPr>
          <w:p w14:paraId="63840BD8" w14:textId="7EF1E697" w:rsidR="00DB0579" w:rsidRDefault="00DB0579" w:rsidP="00DB0579">
            <w:pPr>
              <w:jc w:val="right"/>
            </w:pPr>
            <w:r>
              <w:t>0.824</w:t>
            </w:r>
          </w:p>
        </w:tc>
      </w:tr>
      <w:tr w:rsidR="00DB0579" w14:paraId="4D3D84AA" w14:textId="77777777" w:rsidTr="00DB0579">
        <w:tc>
          <w:tcPr>
            <w:tcW w:w="2122" w:type="dxa"/>
          </w:tcPr>
          <w:p w14:paraId="08C373C8" w14:textId="2FFAE58B" w:rsidR="00DB0579" w:rsidRDefault="00DB0579" w:rsidP="00DB0579">
            <w:pPr>
              <w:jc w:val="right"/>
            </w:pPr>
            <w:r>
              <w:t>0.747</w:t>
            </w:r>
          </w:p>
        </w:tc>
      </w:tr>
      <w:tr w:rsidR="00DB0579" w14:paraId="35CED6FC" w14:textId="77777777" w:rsidTr="00DB0579">
        <w:tc>
          <w:tcPr>
            <w:tcW w:w="2122" w:type="dxa"/>
          </w:tcPr>
          <w:p w14:paraId="4C1752C3" w14:textId="71DF85F5" w:rsidR="00DB0579" w:rsidRDefault="00DB0579" w:rsidP="00DB0579">
            <w:pPr>
              <w:jc w:val="right"/>
            </w:pPr>
            <w:r>
              <w:t>0.914</w:t>
            </w:r>
          </w:p>
        </w:tc>
      </w:tr>
      <w:tr w:rsidR="00DB0579" w14:paraId="1D16D7CE" w14:textId="77777777" w:rsidTr="00DB0579">
        <w:tc>
          <w:tcPr>
            <w:tcW w:w="2122" w:type="dxa"/>
          </w:tcPr>
          <w:p w14:paraId="5B1A5AB6" w14:textId="0D4D003D" w:rsidR="00DB0579" w:rsidRDefault="00DB0579" w:rsidP="00DB0579">
            <w:pPr>
              <w:jc w:val="right"/>
            </w:pPr>
            <w:r>
              <w:t>0.803</w:t>
            </w:r>
          </w:p>
        </w:tc>
      </w:tr>
      <w:tr w:rsidR="00DB0579" w14:paraId="0E008AB6" w14:textId="77777777" w:rsidTr="00DB0579">
        <w:tc>
          <w:tcPr>
            <w:tcW w:w="2122" w:type="dxa"/>
          </w:tcPr>
          <w:p w14:paraId="1061AB97" w14:textId="65E34505" w:rsidR="00DB0579" w:rsidRDefault="00DB0579" w:rsidP="00DB0579">
            <w:pPr>
              <w:jc w:val="right"/>
            </w:pPr>
            <w:r>
              <w:t>0.697</w:t>
            </w:r>
          </w:p>
        </w:tc>
      </w:tr>
      <w:tr w:rsidR="00DB0579" w14:paraId="4490E980" w14:textId="77777777" w:rsidTr="00DB0579">
        <w:tc>
          <w:tcPr>
            <w:tcW w:w="2122" w:type="dxa"/>
          </w:tcPr>
          <w:p w14:paraId="45D62D33" w14:textId="439FA148" w:rsidR="00DB0579" w:rsidRDefault="00DB0579" w:rsidP="00DB0579">
            <w:pPr>
              <w:jc w:val="right"/>
            </w:pPr>
            <w:r>
              <w:t>0.699</w:t>
            </w:r>
          </w:p>
        </w:tc>
      </w:tr>
    </w:tbl>
    <w:p w14:paraId="69D90472" w14:textId="64E121D4" w:rsidR="008D19EB" w:rsidRDefault="00DB0579" w:rsidP="008D19EB">
      <w:r>
        <w:rPr>
          <w:i/>
        </w:rPr>
        <w:t>Table 2.</w:t>
      </w:r>
      <w:r w:rsidR="00967C38">
        <w:t xml:space="preserve"> Measured extinction coefficients.</w:t>
      </w:r>
    </w:p>
    <w:p w14:paraId="786A1B27" w14:textId="77777777" w:rsidR="00232E19" w:rsidRPr="009753D3" w:rsidRDefault="00232E19" w:rsidP="00232E19">
      <w:r>
        <w:lastRenderedPageBreak/>
        <w:t>The difference of tube 1 (no thylakoids) and tube 2 (light reaction) was set as 100 % of DCPIP reduction. The other values were expressed as % of maximal DCPIP reduction.</w:t>
      </w:r>
    </w:p>
    <w:p w14:paraId="30353A26" w14:textId="0A9D0580" w:rsidR="00232E19" w:rsidRPr="00232E19" w:rsidRDefault="00232E19" w:rsidP="008D19EB">
      <w:r>
        <w:rPr>
          <w:noProof/>
        </w:rPr>
        <w:drawing>
          <wp:inline distT="0" distB="0" distL="0" distR="0" wp14:anchorId="1A73AF99" wp14:editId="10B55AE8">
            <wp:extent cx="3579395" cy="242887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488" cy="24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Table 3</w:t>
      </w:r>
      <w:r>
        <w:t>.</w:t>
      </w:r>
    </w:p>
    <w:p w14:paraId="3968A080" w14:textId="185571FF" w:rsidR="008D19EB" w:rsidRDefault="008D19EB" w:rsidP="008D19EB">
      <w:pPr>
        <w:pStyle w:val="berschrift2"/>
      </w:pPr>
      <w:r w:rsidRPr="00BF15AE">
        <w:t>Discussion</w:t>
      </w:r>
    </w:p>
    <w:p w14:paraId="21031503" w14:textId="36747029" w:rsidR="009F3853" w:rsidRPr="009F3853" w:rsidRDefault="00232E19" w:rsidP="009F3853">
      <w:r>
        <w:t xml:space="preserve">In our experiment, no DCPIP was reduced. According to the graph in table 3, the potency of DCMU seems to be slightly higher than atrazine. </w:t>
      </w:r>
      <w:bookmarkStart w:id="0" w:name="_GoBack"/>
      <w:bookmarkEnd w:id="0"/>
    </w:p>
    <w:sectPr w:rsidR="009F3853" w:rsidRPr="009F3853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C5"/>
    <w:rsid w:val="000F42FE"/>
    <w:rsid w:val="00154847"/>
    <w:rsid w:val="001B3141"/>
    <w:rsid w:val="001D181B"/>
    <w:rsid w:val="00232E19"/>
    <w:rsid w:val="0026280D"/>
    <w:rsid w:val="002D5B20"/>
    <w:rsid w:val="002E69E0"/>
    <w:rsid w:val="0030776F"/>
    <w:rsid w:val="003832C9"/>
    <w:rsid w:val="004572C5"/>
    <w:rsid w:val="004A1273"/>
    <w:rsid w:val="005C7675"/>
    <w:rsid w:val="005D3056"/>
    <w:rsid w:val="006F1226"/>
    <w:rsid w:val="007A1FF7"/>
    <w:rsid w:val="008308F1"/>
    <w:rsid w:val="008D19EB"/>
    <w:rsid w:val="0090134A"/>
    <w:rsid w:val="00914DE4"/>
    <w:rsid w:val="00967C38"/>
    <w:rsid w:val="009753D3"/>
    <w:rsid w:val="009C3190"/>
    <w:rsid w:val="009D59AD"/>
    <w:rsid w:val="009F3853"/>
    <w:rsid w:val="00A36901"/>
    <w:rsid w:val="00A41EED"/>
    <w:rsid w:val="00BB6A52"/>
    <w:rsid w:val="00BF15AE"/>
    <w:rsid w:val="00DB0579"/>
    <w:rsid w:val="00EB0149"/>
    <w:rsid w:val="00F050FB"/>
    <w:rsid w:val="00F16384"/>
    <w:rsid w:val="00F714B9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A02D0"/>
  <w15:chartTrackingRefBased/>
  <w15:docId w15:val="{1724782C-7798-4E83-9FC5-81B75556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1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7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DD0D-50F2-4D41-858E-5D5141352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13</cp:revision>
  <dcterms:created xsi:type="dcterms:W3CDTF">2018-03-12T10:05:00Z</dcterms:created>
  <dcterms:modified xsi:type="dcterms:W3CDTF">2018-03-12T21:21:00Z</dcterms:modified>
</cp:coreProperties>
</file>