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691" w:rsidRDefault="00BF54D5" w:rsidP="00BF54D5">
      <w:pPr>
        <w:pStyle w:val="Heading1"/>
        <w:jc w:val="center"/>
      </w:pPr>
      <w:r>
        <w:t>ODE Modeling Exercises</w:t>
      </w:r>
    </w:p>
    <w:p w:rsidR="00BF54D5" w:rsidRDefault="00BF54D5" w:rsidP="00BF54D5"/>
    <w:p w:rsidR="00764AC3" w:rsidRDefault="00174EC8" w:rsidP="00174EC8">
      <w:pPr>
        <w:pStyle w:val="Heading2"/>
      </w:pPr>
      <w:r>
        <w:t xml:space="preserve">Exercise </w:t>
      </w:r>
      <w:r w:rsidR="00404839">
        <w:t>4</w:t>
      </w:r>
      <w:r>
        <w:t xml:space="preserve">: </w:t>
      </w:r>
      <w:r w:rsidR="0048040D">
        <w:t xml:space="preserve">ODE Modeling. </w:t>
      </w:r>
      <w:r w:rsidR="0052347B">
        <w:t>Two reaction</w:t>
      </w:r>
      <w:r w:rsidR="003A2B7C">
        <w:t xml:space="preserve"> model</w:t>
      </w:r>
      <w:r w:rsidR="0052347B">
        <w:t xml:space="preserve"> (with simple regulation)</w:t>
      </w:r>
    </w:p>
    <w:p w:rsidR="00174EC8" w:rsidRDefault="00174EC8" w:rsidP="00174EC8"/>
    <w:p w:rsidR="00B6177C" w:rsidRPr="006C5D1E" w:rsidRDefault="006C5D1E" w:rsidP="00EC1DD9">
      <w:r>
        <w:t xml:space="preserve">The goal of this exercise is to formulate and implement a </w:t>
      </w:r>
      <w:r w:rsidR="000C733E">
        <w:t xml:space="preserve">simple </w:t>
      </w:r>
      <w:r>
        <w:t xml:space="preserve">kinetic model of </w:t>
      </w:r>
      <w:r w:rsidR="000C733E">
        <w:t>two metabolic reactions</w:t>
      </w:r>
      <w:r w:rsidR="00243F5D">
        <w:t xml:space="preserve"> (Fig</w:t>
      </w:r>
      <w:r w:rsidR="000B16F4">
        <w:t>ure</w:t>
      </w:r>
      <w:r w:rsidR="00243F5D">
        <w:t xml:space="preserve"> 1)</w:t>
      </w:r>
      <w:r w:rsidR="00001BF7">
        <w:t xml:space="preserve"> with and without regulatory interactions</w:t>
      </w:r>
      <w:r w:rsidR="005A6FA8">
        <w:t xml:space="preserve">. </w:t>
      </w:r>
    </w:p>
    <w:p w:rsidR="00EC1DD9" w:rsidRDefault="00EC1DD9" w:rsidP="00EC1DD9">
      <w:pPr>
        <w:pStyle w:val="ListParagraph"/>
        <w:ind w:left="360"/>
      </w:pPr>
    </w:p>
    <w:p w:rsidR="00334CC5" w:rsidRDefault="00EC1DD9" w:rsidP="00334CC5">
      <w:pPr>
        <w:pStyle w:val="ListParagraph"/>
        <w:keepNext/>
        <w:ind w:left="360"/>
        <w:jc w:val="center"/>
      </w:pPr>
      <w:r w:rsidRPr="00F9154A">
        <w:rPr>
          <w:noProof/>
          <w:lang w:val="de-CH" w:eastAsia="de-CH"/>
        </w:rPr>
        <w:drawing>
          <wp:inline distT="0" distB="0" distL="0" distR="0" wp14:anchorId="048101AC" wp14:editId="6429D011">
            <wp:extent cx="3748115" cy="2679590"/>
            <wp:effectExtent l="0" t="0" r="508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tod\Downloads\Figur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247" cy="269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CC5" w:rsidRDefault="00334CC5" w:rsidP="00334CC5">
      <w:pPr>
        <w:pStyle w:val="Caption"/>
        <w:jc w:val="center"/>
      </w:pPr>
      <w:r>
        <w:t xml:space="preserve">Figure </w:t>
      </w:r>
      <w:fldSimple w:instr=" SEQ Figure \* ARABIC ">
        <w:r w:rsidR="00E45764">
          <w:rPr>
            <w:noProof/>
          </w:rPr>
          <w:t>1</w:t>
        </w:r>
      </w:fldSimple>
      <w:r>
        <w:t>: Reaction scheme of Model 1 and Model 2</w:t>
      </w:r>
    </w:p>
    <w:p w:rsidR="009770E5" w:rsidRPr="00737C4E" w:rsidRDefault="00A14429" w:rsidP="00334CC5">
      <w:pPr>
        <w:pStyle w:val="Caption"/>
        <w:jc w:val="center"/>
      </w:pPr>
      <w:r>
        <w:t xml:space="preserve"> </w:t>
      </w:r>
      <w:r w:rsidR="00737C4E" w:rsidRPr="00737C4E">
        <w:t xml:space="preserve"> </w:t>
      </w:r>
    </w:p>
    <w:p w:rsidR="00E84B35" w:rsidRDefault="00E84B35" w:rsidP="00B6177C">
      <w:pPr>
        <w:rPr>
          <w:b/>
        </w:rPr>
      </w:pPr>
    </w:p>
    <w:p w:rsidR="00B6177C" w:rsidRDefault="00B6177C" w:rsidP="00B6177C">
      <w:pPr>
        <w:rPr>
          <w:b/>
        </w:rPr>
      </w:pPr>
      <w:r>
        <w:rPr>
          <w:b/>
        </w:rPr>
        <w:t xml:space="preserve">Pen and Paper Exercise: </w:t>
      </w:r>
      <w:r w:rsidRPr="00EC1DD9">
        <w:rPr>
          <w:b/>
        </w:rPr>
        <w:t xml:space="preserve">Set – up the two reaction model </w:t>
      </w:r>
      <w:r w:rsidR="009B1F40">
        <w:rPr>
          <w:b/>
        </w:rPr>
        <w:t>(Model 1</w:t>
      </w:r>
      <w:r w:rsidRPr="00EC1DD9">
        <w:rPr>
          <w:b/>
        </w:rPr>
        <w:t>)</w:t>
      </w:r>
    </w:p>
    <w:p w:rsidR="00B6177C" w:rsidRDefault="00EF7E34" w:rsidP="00B6177C">
      <w:pPr>
        <w:pStyle w:val="ListParagraph"/>
        <w:numPr>
          <w:ilvl w:val="0"/>
          <w:numId w:val="11"/>
        </w:numPr>
      </w:pPr>
      <w:r>
        <w:t>Based on the reaction scheme in Figure 1, w</w:t>
      </w:r>
      <w:r w:rsidR="00B6177C">
        <w:t xml:space="preserve">rite the Balance Equations for the species’ concentrations of </w:t>
      </w:r>
      <w:r w:rsidR="00B6177C" w:rsidRPr="00B6177C">
        <w:rPr>
          <w:b/>
        </w:rPr>
        <w:t>Model 1</w:t>
      </w:r>
      <w:r w:rsidR="00B6177C">
        <w:t xml:space="preserve"> under the assumption of </w:t>
      </w:r>
      <w:proofErr w:type="spellStart"/>
      <w:r w:rsidR="00B6177C">
        <w:t>Michaelis</w:t>
      </w:r>
      <w:proofErr w:type="spellEnd"/>
      <w:r w:rsidR="00B6177C">
        <w:t xml:space="preserve"> </w:t>
      </w:r>
      <w:proofErr w:type="spellStart"/>
      <w:r w:rsidR="00B6177C">
        <w:t>Menten</w:t>
      </w:r>
      <w:proofErr w:type="spellEnd"/>
      <w:r w:rsidR="00B6177C">
        <w:t xml:space="preserve"> kinetics</w:t>
      </w:r>
      <w:r w:rsidR="00A02114">
        <w:t xml:space="preserve"> and a constant Carbon Influx</w:t>
      </w:r>
      <w:r w:rsidR="00B6177C">
        <w:t xml:space="preserve">. </w:t>
      </w:r>
    </w:p>
    <w:p w:rsidR="009313A7" w:rsidRDefault="009313A7" w:rsidP="00B6177C">
      <w:pPr>
        <w:pStyle w:val="ListParagraph"/>
        <w:numPr>
          <w:ilvl w:val="0"/>
          <w:numId w:val="11"/>
        </w:numPr>
      </w:pPr>
      <w:r>
        <w:t xml:space="preserve">For </w:t>
      </w:r>
      <w:r w:rsidRPr="009313A7">
        <w:rPr>
          <w:b/>
        </w:rPr>
        <w:t>Model 1</w:t>
      </w:r>
      <w:r>
        <w:rPr>
          <w:b/>
        </w:rPr>
        <w:t xml:space="preserve">, </w:t>
      </w:r>
      <w:r w:rsidR="00FF01D2">
        <w:t xml:space="preserve">find the </w:t>
      </w:r>
      <w:r>
        <w:t xml:space="preserve">concentrations </w:t>
      </w:r>
      <w:r w:rsidR="00FF01D2">
        <w:t xml:space="preserve">of species </w:t>
      </w:r>
      <w:r w:rsidR="00FF01D2" w:rsidRPr="00BE2FA1">
        <w:rPr>
          <w:b/>
        </w:rPr>
        <w:t>F6P</w:t>
      </w:r>
      <w:r w:rsidR="00FF01D2">
        <w:t xml:space="preserve"> and </w:t>
      </w:r>
      <w:r w:rsidR="00FF01D2" w:rsidRPr="00BE2FA1">
        <w:rPr>
          <w:b/>
        </w:rPr>
        <w:t>PEP</w:t>
      </w:r>
      <w:r w:rsidR="00FF01D2">
        <w:t xml:space="preserve"> in steady state</w:t>
      </w:r>
      <w:r w:rsidR="009C3896">
        <w:t>,</w:t>
      </w:r>
      <w:r>
        <w:t xml:space="preserve"> using the parameters </w:t>
      </w:r>
      <w:r>
        <w:t>f</w:t>
      </w:r>
      <w:r>
        <w:t>rom</w:t>
      </w:r>
      <w:r>
        <w:t xml:space="preserve"> </w:t>
      </w:r>
      <w:r w:rsidR="00F04456" w:rsidRPr="00F04456">
        <w:rPr>
          <w:i/>
        </w:rPr>
        <w:t>T</w:t>
      </w:r>
      <w:r w:rsidRPr="00F04456">
        <w:rPr>
          <w:i/>
        </w:rPr>
        <w:t>able</w:t>
      </w:r>
      <w:r w:rsidRPr="00F04456">
        <w:rPr>
          <w:i/>
        </w:rPr>
        <w:t> </w:t>
      </w:r>
      <w:r w:rsidRPr="00F04456">
        <w:rPr>
          <w:i/>
        </w:rPr>
        <w:t>2</w:t>
      </w:r>
      <w:r w:rsidR="00FF01D2">
        <w:t>.</w:t>
      </w:r>
    </w:p>
    <w:p w:rsidR="00970EAC" w:rsidRDefault="00970EAC" w:rsidP="009313A7">
      <w:r>
        <w:t xml:space="preserve"> </w:t>
      </w:r>
      <m:oMath>
        <m:r>
          <w:rPr>
            <w:rFonts w:ascii="Cambria Math" w:hAnsi="Cambria Math"/>
          </w:rPr>
          <m:t xml:space="preserve">Hint:In steady state, 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d[F6P]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=0 and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d[PEP]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9B1F40" w:rsidRDefault="009B1F40" w:rsidP="009B1F40">
      <w:pPr>
        <w:pStyle w:val="ListParagraph"/>
        <w:ind w:left="0"/>
      </w:pPr>
    </w:p>
    <w:p w:rsidR="009B1F40" w:rsidRDefault="00E84B35" w:rsidP="009B1F40">
      <w:pPr>
        <w:rPr>
          <w:b/>
        </w:rPr>
      </w:pPr>
      <w:r>
        <w:rPr>
          <w:b/>
        </w:rPr>
        <w:br w:type="column"/>
      </w:r>
      <w:r w:rsidR="00EC5DC8">
        <w:rPr>
          <w:b/>
        </w:rPr>
        <w:lastRenderedPageBreak/>
        <w:t>Implementation and simulation of an ODE model</w:t>
      </w:r>
      <w:r w:rsidR="006A759D">
        <w:rPr>
          <w:b/>
        </w:rPr>
        <w:t xml:space="preserve"> (Model 1)</w:t>
      </w:r>
    </w:p>
    <w:p w:rsidR="009313A7" w:rsidRDefault="00EF7E34" w:rsidP="009313A7">
      <w:pPr>
        <w:pStyle w:val="ListParagraph"/>
        <w:numPr>
          <w:ilvl w:val="0"/>
          <w:numId w:val="11"/>
        </w:numPr>
      </w:pPr>
      <w:r>
        <w:t xml:space="preserve">Implement the </w:t>
      </w:r>
      <w:r w:rsidR="001A08D5">
        <w:t xml:space="preserve">resulting </w:t>
      </w:r>
      <w:r>
        <w:t>ODE system you described in the step</w:t>
      </w:r>
      <w:r w:rsidR="00F04456">
        <w:t xml:space="preserve"> 1)</w:t>
      </w:r>
      <w:r>
        <w:t xml:space="preserve"> in </w:t>
      </w:r>
      <w:r w:rsidR="00D1717A">
        <w:t>MATLAB</w:t>
      </w:r>
      <w:r w:rsidR="00DE1EA4">
        <w:t xml:space="preserve"> using the </w:t>
      </w:r>
      <w:proofErr w:type="spellStart"/>
      <w:r w:rsidR="00DE1EA4">
        <w:t>SimBiology</w:t>
      </w:r>
      <w:proofErr w:type="spellEnd"/>
      <w:r w:rsidR="00DE1EA4">
        <w:t xml:space="preserve"> toolbox</w:t>
      </w:r>
      <w:r w:rsidR="009313A7">
        <w:t>:</w:t>
      </w:r>
    </w:p>
    <w:p w:rsidR="00F04456" w:rsidRDefault="00E02D68" w:rsidP="009313A7">
      <w:pPr>
        <w:pStyle w:val="ListParagraph"/>
        <w:numPr>
          <w:ilvl w:val="1"/>
          <w:numId w:val="11"/>
        </w:numPr>
      </w:pPr>
      <w:r>
        <w:t>Use</w:t>
      </w:r>
      <w:r w:rsidR="00BA3B2D">
        <w:t xml:space="preserve"> the </w:t>
      </w:r>
      <w:r w:rsidR="00957076">
        <w:t xml:space="preserve">provided </w:t>
      </w:r>
      <w:r w:rsidR="00BA3B2D">
        <w:t>“</w:t>
      </w:r>
      <w:r w:rsidR="00957076">
        <w:t>Model1</w:t>
      </w:r>
      <w:r w:rsidR="00BA3B2D" w:rsidRPr="00BA3B2D">
        <w:t>.m</w:t>
      </w:r>
      <w:r w:rsidR="005715CE">
        <w:t xml:space="preserve">” file </w:t>
      </w:r>
      <w:r w:rsidR="009313A7">
        <w:t xml:space="preserve">as a basis </w:t>
      </w:r>
      <w:r w:rsidR="005715CE">
        <w:t>and complete the code</w:t>
      </w:r>
      <w:r w:rsidR="00F04456" w:rsidRPr="00F04456">
        <w:t xml:space="preserve"> </w:t>
      </w:r>
      <w:r w:rsidR="00F04456">
        <w:t>using t</w:t>
      </w:r>
      <w:r w:rsidR="00F04456">
        <w:t>he initial values of species concentrations and parameter</w:t>
      </w:r>
      <w:r w:rsidR="00F04456">
        <w:t>s</w:t>
      </w:r>
      <w:r w:rsidR="00F04456">
        <w:t xml:space="preserve"> </w:t>
      </w:r>
      <w:r w:rsidR="00F04456">
        <w:t xml:space="preserve">from </w:t>
      </w:r>
      <w:r w:rsidR="00F04456" w:rsidRPr="00F04456">
        <w:rPr>
          <w:i/>
        </w:rPr>
        <w:t>Tables 1 and 2</w:t>
      </w:r>
      <w:r w:rsidR="00F04456">
        <w:t>.</w:t>
      </w:r>
    </w:p>
    <w:p w:rsidR="009B1F40" w:rsidRDefault="00D77372" w:rsidP="009313A7">
      <w:pPr>
        <w:pStyle w:val="ListParagraph"/>
        <w:numPr>
          <w:ilvl w:val="1"/>
          <w:numId w:val="11"/>
        </w:numPr>
      </w:pPr>
      <w:r>
        <w:t>Simulate the dynamic behavior of the system</w:t>
      </w:r>
      <w:r w:rsidR="00BA3B2D">
        <w:t xml:space="preserve"> </w:t>
      </w:r>
      <w:r>
        <w:t xml:space="preserve">for </w:t>
      </w:r>
      <w:r w:rsidR="00031FB8" w:rsidRPr="009313A7">
        <w:rPr>
          <w:b/>
        </w:rPr>
        <w:t>10</w:t>
      </w:r>
      <w:r w:rsidR="00031FB8">
        <w:t xml:space="preserve"> </w:t>
      </w:r>
      <w:r>
        <w:t>seconds</w:t>
      </w:r>
      <w:r w:rsidR="00625B9D">
        <w:t>, using the default ODE solver</w:t>
      </w:r>
      <w:r w:rsidR="00F04456">
        <w:t>.</w:t>
      </w:r>
      <w:r w:rsidR="00625B9D">
        <w:t xml:space="preserve"> </w:t>
      </w:r>
      <w:r w:rsidR="00DA372E">
        <w:t xml:space="preserve">Plot the simulated </w:t>
      </w:r>
      <w:r w:rsidR="00F04456">
        <w:t>concentration changes</w:t>
      </w:r>
      <w:r w:rsidR="00DA372E">
        <w:t xml:space="preserve"> of the species in one graph.</w:t>
      </w:r>
      <w:r w:rsidR="00F04456">
        <w:t xml:space="preserve"> </w:t>
      </w:r>
      <w:r w:rsidR="00AE003C">
        <w:t xml:space="preserve">Do the steady state values of F6P and PEP agree with your </w:t>
      </w:r>
      <w:r w:rsidR="00F04456">
        <w:t xml:space="preserve">calculations </w:t>
      </w:r>
      <w:r w:rsidR="00AE003C">
        <w:t>in the step</w:t>
      </w:r>
      <w:r w:rsidR="00F04456">
        <w:t xml:space="preserve"> 2)</w:t>
      </w:r>
      <w:r w:rsidR="00AE003C">
        <w:t>?</w:t>
      </w:r>
    </w:p>
    <w:p w:rsidR="006262DE" w:rsidRDefault="006262DE" w:rsidP="009313A7">
      <w:pPr>
        <w:pStyle w:val="ListParagraph"/>
        <w:numPr>
          <w:ilvl w:val="0"/>
          <w:numId w:val="11"/>
        </w:numPr>
      </w:pPr>
      <w:r>
        <w:t xml:space="preserve">Change the initial amounts of </w:t>
      </w:r>
      <w:r w:rsidR="00C1696F">
        <w:t xml:space="preserve">the </w:t>
      </w:r>
      <w:r>
        <w:t xml:space="preserve">species </w:t>
      </w:r>
      <w:r w:rsidR="00D3301E">
        <w:t>concentrations</w:t>
      </w:r>
      <w:r w:rsidR="00F04456">
        <w:t xml:space="preserve"> to the values </w:t>
      </w:r>
      <w:r w:rsidR="00D3301E">
        <w:t>given in</w:t>
      </w:r>
      <w:r w:rsidR="003751A8">
        <w:t xml:space="preserve"> </w:t>
      </w:r>
      <w:r w:rsidR="003751A8" w:rsidRPr="009313A7">
        <w:rPr>
          <w:i/>
        </w:rPr>
        <w:t>Table 3</w:t>
      </w:r>
      <w:r w:rsidR="00D3301E">
        <w:t xml:space="preserve">. Simulate the model and plot the </w:t>
      </w:r>
      <w:r w:rsidR="00F04456">
        <w:t xml:space="preserve">concentration changes. Do the steady state </w:t>
      </w:r>
      <w:r w:rsidR="00975685">
        <w:t>values of the species</w:t>
      </w:r>
      <w:r w:rsidR="00F04456">
        <w:t xml:space="preserve"> change</w:t>
      </w:r>
      <w:r w:rsidR="00F9313C">
        <w:t>?</w:t>
      </w:r>
    </w:p>
    <w:p w:rsidR="00690176" w:rsidRDefault="00690176" w:rsidP="00690176">
      <w:pPr>
        <w:pStyle w:val="ListParagraph"/>
        <w:numPr>
          <w:ilvl w:val="0"/>
          <w:numId w:val="11"/>
        </w:numPr>
      </w:pPr>
      <w:r>
        <w:t xml:space="preserve">Analyze how the parameters </w:t>
      </w:r>
      <w:proofErr w:type="spellStart"/>
      <w:r>
        <w:t>KmPFK</w:t>
      </w:r>
      <w:proofErr w:type="spellEnd"/>
      <w:r>
        <w:t xml:space="preserve"> and </w:t>
      </w:r>
      <w:proofErr w:type="spellStart"/>
      <w:r>
        <w:t>VmaxPYK</w:t>
      </w:r>
      <w:proofErr w:type="spellEnd"/>
      <w:r>
        <w:t xml:space="preserve"> influence the behavior of the system. </w:t>
      </w:r>
      <w:r w:rsidR="00C533EA">
        <w:t xml:space="preserve">Perform parameter scan: </w:t>
      </w:r>
      <w:r>
        <w:t xml:space="preserve">for each of the two parameters, </w:t>
      </w:r>
      <w:r w:rsidR="00C533EA">
        <w:t xml:space="preserve">change </w:t>
      </w:r>
      <w:r>
        <w:t>its</w:t>
      </w:r>
      <w:r w:rsidR="00C533EA">
        <w:t xml:space="preserve"> </w:t>
      </w:r>
      <w:r>
        <w:t xml:space="preserve">value in the </w:t>
      </w:r>
      <w:r w:rsidR="00EE07A5">
        <w:t xml:space="preserve">range </w:t>
      </w:r>
      <w:r w:rsidR="00C533EA">
        <w:t>given in</w:t>
      </w:r>
      <w:r w:rsidR="005B29FB">
        <w:t xml:space="preserve"> </w:t>
      </w:r>
      <w:r w:rsidR="005B29FB" w:rsidRPr="009313A7">
        <w:rPr>
          <w:i/>
        </w:rPr>
        <w:t>Table 4</w:t>
      </w:r>
      <w:r w:rsidRPr="00690176">
        <w:t>, and simulate the system</w:t>
      </w:r>
      <w:r>
        <w:t xml:space="preserve"> behavior</w:t>
      </w:r>
      <w:r w:rsidRPr="00690176">
        <w:t>.</w:t>
      </w:r>
      <w:r>
        <w:t xml:space="preserve"> </w:t>
      </w:r>
      <w:r w:rsidR="00F2102B">
        <w:t xml:space="preserve">To </w:t>
      </w:r>
      <w:r>
        <w:t xml:space="preserve">change the parameter value, </w:t>
      </w:r>
      <w:r w:rsidR="00F2102B">
        <w:t xml:space="preserve">you </w:t>
      </w:r>
      <w:r>
        <w:t xml:space="preserve">first </w:t>
      </w:r>
      <w:r w:rsidR="00F2102B">
        <w:t xml:space="preserve">have to </w:t>
      </w:r>
      <w:r>
        <w:t xml:space="preserve">get </w:t>
      </w:r>
      <w:r w:rsidR="00F2102B">
        <w:t xml:space="preserve">the parameter of interest in the following way: </w:t>
      </w:r>
    </w:p>
    <w:p w:rsidR="00F2102B" w:rsidRPr="00690176" w:rsidRDefault="00F2102B" w:rsidP="00690176">
      <w:r w:rsidRPr="00690176">
        <w:rPr>
          <w:i/>
        </w:rPr>
        <w:t>parameter = sbioselect(</w:t>
      </w:r>
      <w:r w:rsidRPr="00690176">
        <w:rPr>
          <w:b/>
          <w:i/>
        </w:rPr>
        <w:t>modelObj1</w:t>
      </w:r>
      <w:r w:rsidRPr="00690176">
        <w:rPr>
          <w:i/>
        </w:rPr>
        <w:t>,'Type','parameter','Where','Name','==',</w:t>
      </w:r>
      <w:r w:rsidRPr="00690176">
        <w:rPr>
          <w:b/>
          <w:i/>
        </w:rPr>
        <w:t>'PARAMETER_NAME'</w:t>
      </w:r>
      <w:r w:rsidRPr="00690176">
        <w:rPr>
          <w:i/>
        </w:rPr>
        <w:t>);</w:t>
      </w:r>
    </w:p>
    <w:p w:rsidR="00F2102B" w:rsidRPr="00C035F0" w:rsidRDefault="00F2102B" w:rsidP="00F2102B">
      <w:pPr>
        <w:pStyle w:val="ListParagraph"/>
        <w:ind w:left="360"/>
      </w:pPr>
      <w:r>
        <w:t>where “</w:t>
      </w:r>
      <w:r w:rsidRPr="00C035F0">
        <w:rPr>
          <w:b/>
        </w:rPr>
        <w:t>modelObj1</w:t>
      </w:r>
      <w:r>
        <w:t>”</w:t>
      </w:r>
      <w:r w:rsidR="00DE1EA4">
        <w:t xml:space="preserve"> is </w:t>
      </w:r>
      <w:r>
        <w:t xml:space="preserve">the model </w:t>
      </w:r>
      <w:r w:rsidR="00810D3C">
        <w:t xml:space="preserve">object </w:t>
      </w:r>
      <w:r w:rsidR="00C035F0">
        <w:t xml:space="preserve">you have created, and </w:t>
      </w:r>
      <w:r w:rsidR="00C035F0">
        <w:rPr>
          <w:b/>
          <w:i/>
        </w:rPr>
        <w:t>'PARAMETER_NAME’</w:t>
      </w:r>
      <w:r w:rsidR="00C035F0">
        <w:t xml:space="preserve"> is the name of the parameter wh</w:t>
      </w:r>
      <w:r w:rsidR="00690176">
        <w:t>ich</w:t>
      </w:r>
      <w:r w:rsidR="00C035F0">
        <w:t xml:space="preserve"> values you want to change.</w:t>
      </w:r>
    </w:p>
    <w:p w:rsidR="000E1CEB" w:rsidRPr="000E1CEB" w:rsidRDefault="001E4FC6" w:rsidP="006675E7">
      <w:pPr>
        <w:pStyle w:val="ListParagraph"/>
        <w:ind w:left="360"/>
      </w:pPr>
      <w:r>
        <w:t xml:space="preserve">Plot the </w:t>
      </w:r>
      <w:r w:rsidR="00690176">
        <w:t xml:space="preserve">concentration changes of </w:t>
      </w:r>
      <w:r>
        <w:t xml:space="preserve">the </w:t>
      </w:r>
      <w:r w:rsidR="00A624FA">
        <w:t xml:space="preserve">two </w:t>
      </w:r>
      <w:r>
        <w:t>species</w:t>
      </w:r>
      <w:r w:rsidR="00690176">
        <w:t xml:space="preserve"> for each parameter in a separate plot (4 plots in total). </w:t>
      </w:r>
      <w:r w:rsidR="004209B9">
        <w:t>What happens to the steady state values of the species?</w:t>
      </w:r>
    </w:p>
    <w:p w:rsidR="00FB6D0F" w:rsidRDefault="00FB6D0F" w:rsidP="005A5738">
      <w:pPr>
        <w:rPr>
          <w:b/>
        </w:rPr>
      </w:pPr>
      <w:r>
        <w:rPr>
          <w:b/>
        </w:rPr>
        <w:t>Implementation and simulation of an ODE model with simple regulation (Model 2)</w:t>
      </w:r>
    </w:p>
    <w:p w:rsidR="00EF6D83" w:rsidRPr="008E0279" w:rsidRDefault="0013092C" w:rsidP="00690176">
      <w:pPr>
        <w:pStyle w:val="ListParagraph"/>
        <w:numPr>
          <w:ilvl w:val="0"/>
          <w:numId w:val="11"/>
        </w:numPr>
      </w:pPr>
      <w:r w:rsidRPr="008E0279">
        <w:t xml:space="preserve">Using the implementation of Model 1 </w:t>
      </w:r>
      <w:r w:rsidR="006C2ECC">
        <w:t xml:space="preserve">from step 3) </w:t>
      </w:r>
      <w:r w:rsidRPr="008E0279">
        <w:t xml:space="preserve">as a basis, implement Model 2 </w:t>
      </w:r>
      <w:r w:rsidR="006C2ECC">
        <w:t xml:space="preserve">by adding the feedback mechanism. </w:t>
      </w:r>
      <w:r w:rsidR="005E6BB1" w:rsidRPr="008E0279">
        <w:t xml:space="preserve">The </w:t>
      </w:r>
      <w:r w:rsidR="003F67E3" w:rsidRPr="008E0279">
        <w:t xml:space="preserve">non-competitive (allosteric) </w:t>
      </w:r>
      <w:r w:rsidR="005E6BB1" w:rsidRPr="008E0279">
        <w:t xml:space="preserve">feedback inhibition </w:t>
      </w:r>
      <w:r w:rsidR="004C2EC3" w:rsidRPr="008E0279">
        <w:t>of</w:t>
      </w:r>
      <w:r w:rsidR="005E6BB1" w:rsidRPr="008E0279">
        <w:t xml:space="preserve"> </w:t>
      </w:r>
      <w:r w:rsidR="00222A2B" w:rsidRPr="008E0279">
        <w:t>metabolite</w:t>
      </w:r>
      <w:r w:rsidR="005E6BB1" w:rsidRPr="008E0279">
        <w:t xml:space="preserve"> </w:t>
      </w:r>
      <w:r w:rsidR="005E6BB1" w:rsidRPr="00690176">
        <w:rPr>
          <w:b/>
        </w:rPr>
        <w:t>PEP</w:t>
      </w:r>
      <w:r w:rsidR="005E6BB1" w:rsidRPr="008E0279">
        <w:t xml:space="preserve"> on the reaction catalyzed by the enzyme </w:t>
      </w:r>
      <w:proofErr w:type="spellStart"/>
      <w:r w:rsidR="005E6BB1" w:rsidRPr="00690176">
        <w:rPr>
          <w:b/>
          <w:i/>
        </w:rPr>
        <w:t>pfk</w:t>
      </w:r>
      <w:proofErr w:type="spellEnd"/>
      <w:r w:rsidR="005E6BB1" w:rsidRPr="008E0279">
        <w:t xml:space="preserve"> </w:t>
      </w:r>
      <w:r w:rsidR="00D52402" w:rsidRPr="008E0279">
        <w:t xml:space="preserve">affects the maximum reaction rate of the enzyme. </w:t>
      </w:r>
      <w:r w:rsidR="006C2ECC">
        <w:t xml:space="preserve">In order to include this regulation in </w:t>
      </w:r>
      <w:r w:rsidR="004340C7" w:rsidRPr="008E0279">
        <w:t>Model 2</w:t>
      </w:r>
      <w:r w:rsidR="006C2ECC">
        <w:t>, u</w:t>
      </w:r>
      <w:r w:rsidR="006C2ECC" w:rsidRPr="008E0279">
        <w:t xml:space="preserve">se a power law term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PEP</m:t>
                </m:r>
              </m:e>
            </m:d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)</m:t>
        </m:r>
      </m:oMath>
      <w:r w:rsidR="00242D3F" w:rsidRPr="00690176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a</m:t>
        </m:r>
      </m:oMath>
      <w:r w:rsidR="00242D3F" w:rsidRPr="00690176">
        <w:rPr>
          <w:rFonts w:eastAsiaTheme="minorEastAsia"/>
        </w:rPr>
        <w:t xml:space="preserve"> is a parameter describing the strength of the inhibition</w:t>
      </w:r>
      <w:r w:rsidR="00D46B00" w:rsidRPr="00690176">
        <w:rPr>
          <w:rFonts w:eastAsiaTheme="minorEastAsia"/>
        </w:rPr>
        <w:t xml:space="preserve"> and its value can be found in</w:t>
      </w:r>
      <w:r w:rsidR="0051170A" w:rsidRPr="00690176">
        <w:rPr>
          <w:rFonts w:eastAsiaTheme="minorEastAsia"/>
        </w:rPr>
        <w:t xml:space="preserve"> </w:t>
      </w:r>
      <w:r w:rsidR="0051170A" w:rsidRPr="00690176">
        <w:rPr>
          <w:rFonts w:eastAsiaTheme="minorEastAsia"/>
          <w:i/>
        </w:rPr>
        <w:t>Table 2</w:t>
      </w:r>
      <w:r w:rsidR="00242D3F" w:rsidRPr="00690176">
        <w:rPr>
          <w:rFonts w:eastAsiaTheme="minorEastAsia"/>
        </w:rPr>
        <w:t xml:space="preserve">. </w:t>
      </w:r>
    </w:p>
    <w:p w:rsidR="00EF6D83" w:rsidRDefault="00EF6D83" w:rsidP="00690176">
      <w:pPr>
        <w:pStyle w:val="ListParagraph"/>
        <w:numPr>
          <w:ilvl w:val="0"/>
          <w:numId w:val="11"/>
        </w:numPr>
      </w:pPr>
      <w:r w:rsidRPr="00690176">
        <w:rPr>
          <w:rFonts w:eastAsiaTheme="minorEastAsia"/>
        </w:rPr>
        <w:t>Simulate Model 2</w:t>
      </w:r>
      <w:r w:rsidRPr="00690176">
        <w:rPr>
          <w:rFonts w:eastAsiaTheme="minorEastAsia"/>
          <w:sz w:val="24"/>
          <w:szCs w:val="24"/>
        </w:rPr>
        <w:t xml:space="preserve"> </w:t>
      </w:r>
      <w:r w:rsidR="002752A7">
        <w:t xml:space="preserve">for </w:t>
      </w:r>
      <w:r w:rsidR="002752A7" w:rsidRPr="00690176">
        <w:rPr>
          <w:b/>
        </w:rPr>
        <w:t>10</w:t>
      </w:r>
      <w:r w:rsidR="002752A7">
        <w:t xml:space="preserve"> seconds</w:t>
      </w:r>
      <w:r w:rsidR="002752A7" w:rsidRPr="00690176">
        <w:rPr>
          <w:rFonts w:eastAsiaTheme="minorEastAsia"/>
        </w:rPr>
        <w:t xml:space="preserve"> </w:t>
      </w:r>
      <w:r w:rsidRPr="00690176">
        <w:rPr>
          <w:rFonts w:eastAsiaTheme="minorEastAsia"/>
        </w:rPr>
        <w:t>and</w:t>
      </w:r>
      <w:r w:rsidRPr="00690176">
        <w:rPr>
          <w:rFonts w:eastAsiaTheme="minorEastAsia"/>
          <w:sz w:val="24"/>
          <w:szCs w:val="24"/>
        </w:rPr>
        <w:t xml:space="preserve"> </w:t>
      </w:r>
      <w:r>
        <w:t xml:space="preserve">plot the simulated </w:t>
      </w:r>
      <w:r w:rsidR="006C2ECC">
        <w:t xml:space="preserve">concentration changes </w:t>
      </w:r>
      <w:r>
        <w:t>of the species in one graph</w:t>
      </w:r>
      <w:r w:rsidR="007045B4">
        <w:t xml:space="preserve">. </w:t>
      </w:r>
    </w:p>
    <w:p w:rsidR="00F441F3" w:rsidRDefault="006C2ECC" w:rsidP="00690176">
      <w:pPr>
        <w:pStyle w:val="ListParagraph"/>
        <w:numPr>
          <w:ilvl w:val="0"/>
          <w:numId w:val="11"/>
        </w:numPr>
      </w:pPr>
      <w:r>
        <w:t xml:space="preserve">Compare the behavior of Model 1 and Model 2 </w:t>
      </w:r>
      <w:r w:rsidR="00546720">
        <w:t>in case</w:t>
      </w:r>
      <w:r w:rsidR="00406552">
        <w:t xml:space="preserve"> of </w:t>
      </w:r>
      <w:r w:rsidR="00406552" w:rsidRPr="00690176">
        <w:rPr>
          <w:b/>
        </w:rPr>
        <w:t>step-like</w:t>
      </w:r>
      <w:r w:rsidR="00406552">
        <w:t xml:space="preserve"> </w:t>
      </w:r>
      <w:r w:rsidR="00136D0A" w:rsidRPr="00690176">
        <w:rPr>
          <w:b/>
        </w:rPr>
        <w:t>increase</w:t>
      </w:r>
      <w:r>
        <w:rPr>
          <w:b/>
        </w:rPr>
        <w:t xml:space="preserve"> of the input</w:t>
      </w:r>
      <w:r w:rsidRPr="006C2ECC">
        <w:t>. Include the step-like input increase and s</w:t>
      </w:r>
      <w:r w:rsidR="00F912D4" w:rsidRPr="006C2ECC">
        <w:t>imulate</w:t>
      </w:r>
      <w:r w:rsidR="00F912D4">
        <w:t xml:space="preserve"> both systems for </w:t>
      </w:r>
      <w:r w:rsidR="00F912D4" w:rsidRPr="00690176">
        <w:rPr>
          <w:b/>
        </w:rPr>
        <w:t>200</w:t>
      </w:r>
      <w:r w:rsidR="00F912D4">
        <w:t xml:space="preserve"> seconds.</w:t>
      </w:r>
      <w:r w:rsidR="006D2739">
        <w:t xml:space="preserve"> </w:t>
      </w:r>
      <w:r w:rsidR="00391ECA">
        <w:t xml:space="preserve">Plot the simulated </w:t>
      </w:r>
      <w:r>
        <w:t xml:space="preserve">concentration changes of </w:t>
      </w:r>
      <w:r w:rsidR="00391ECA">
        <w:t xml:space="preserve">the species </w:t>
      </w:r>
      <w:r>
        <w:t xml:space="preserve">for each Model in a separate plot. </w:t>
      </w:r>
      <w:r w:rsidR="00F441F3">
        <w:t xml:space="preserve"> </w:t>
      </w:r>
    </w:p>
    <w:p w:rsidR="006C2ECC" w:rsidRDefault="006C2ECC" w:rsidP="00AA2A7E">
      <w:pPr>
        <w:pStyle w:val="ListParagraph"/>
        <w:ind w:left="360"/>
        <w:rPr>
          <w:i/>
        </w:rPr>
      </w:pPr>
      <w:r>
        <w:rPr>
          <w:i/>
        </w:rPr>
        <w:t>T</w:t>
      </w:r>
      <w:r w:rsidRPr="00F441F3">
        <w:rPr>
          <w:i/>
        </w:rPr>
        <w:t>o achieve a step – like input increase that happens after 40 seconds in simulation</w:t>
      </w:r>
      <w:r>
        <w:rPr>
          <w:i/>
        </w:rPr>
        <w:t>, i</w:t>
      </w:r>
      <w:r w:rsidR="00F441F3" w:rsidRPr="00F441F3">
        <w:rPr>
          <w:i/>
        </w:rPr>
        <w:t xml:space="preserve">nclude </w:t>
      </w:r>
      <w:r w:rsidR="001A57AB">
        <w:rPr>
          <w:i/>
        </w:rPr>
        <w:t xml:space="preserve">in your code </w:t>
      </w:r>
      <w:r w:rsidR="00F441F3" w:rsidRPr="00F441F3">
        <w:rPr>
          <w:i/>
        </w:rPr>
        <w:t>the following command</w:t>
      </w:r>
      <w:r w:rsidR="00C70F82">
        <w:rPr>
          <w:i/>
        </w:rPr>
        <w:t xml:space="preserve">, </w:t>
      </w:r>
      <w:r>
        <w:rPr>
          <w:b/>
          <w:i/>
        </w:rPr>
        <w:t>before simulating the system</w:t>
      </w:r>
      <w:r w:rsidR="00F441F3" w:rsidRPr="00F441F3">
        <w:rPr>
          <w:i/>
        </w:rPr>
        <w:t>:</w:t>
      </w:r>
    </w:p>
    <w:p w:rsidR="00C70F82" w:rsidRPr="006C2ECC" w:rsidRDefault="00F441F3" w:rsidP="006C2ECC">
      <w:pPr>
        <w:rPr>
          <w:i/>
        </w:rPr>
      </w:pPr>
      <w:proofErr w:type="spellStart"/>
      <w:r w:rsidRPr="006C2ECC">
        <w:rPr>
          <w:i/>
        </w:rPr>
        <w:t>addevent</w:t>
      </w:r>
      <w:proofErr w:type="spellEnd"/>
      <w:r w:rsidRPr="006C2ECC">
        <w:rPr>
          <w:i/>
        </w:rPr>
        <w:t>(modelObj</w:t>
      </w:r>
      <w:r w:rsidR="00B152DA" w:rsidRPr="006C2ECC">
        <w:rPr>
          <w:i/>
        </w:rPr>
        <w:t>1</w:t>
      </w:r>
      <w:r w:rsidRPr="006C2ECC">
        <w:rPr>
          <w:i/>
        </w:rPr>
        <w:t>, 'time&gt;= 40', {'Influx = 5'});</w:t>
      </w:r>
      <w:r w:rsidR="00C70F82" w:rsidRPr="008215C0">
        <w:rPr>
          <w:i/>
        </w:rPr>
        <w:t xml:space="preserve"> </w:t>
      </w:r>
    </w:p>
    <w:p w:rsidR="003E5CCE" w:rsidRDefault="006C2ECC" w:rsidP="00690176">
      <w:pPr>
        <w:pStyle w:val="ListParagraph"/>
        <w:numPr>
          <w:ilvl w:val="0"/>
          <w:numId w:val="11"/>
        </w:numPr>
      </w:pPr>
      <w:r>
        <w:t xml:space="preserve">Compare the behavior of Model 1 and Model 2 </w:t>
      </w:r>
      <w:r w:rsidR="003E5CCE">
        <w:t>in case of</w:t>
      </w:r>
      <w:r w:rsidR="0007413A">
        <w:t xml:space="preserve"> a 40 second</w:t>
      </w:r>
      <w:r w:rsidR="003E5CCE">
        <w:t xml:space="preserve"> </w:t>
      </w:r>
      <w:r w:rsidR="003E5CCE" w:rsidRPr="00690176">
        <w:rPr>
          <w:b/>
        </w:rPr>
        <w:t>pulse-like</w:t>
      </w:r>
      <w:r w:rsidR="003E5CCE">
        <w:t xml:space="preserve"> </w:t>
      </w:r>
      <w:r w:rsidR="00136D0A" w:rsidRPr="00690176">
        <w:rPr>
          <w:b/>
        </w:rPr>
        <w:t>inc</w:t>
      </w:r>
      <w:r w:rsidR="00847701" w:rsidRPr="00690176">
        <w:rPr>
          <w:b/>
        </w:rPr>
        <w:t>r</w:t>
      </w:r>
      <w:r w:rsidR="00136D0A" w:rsidRPr="00690176">
        <w:rPr>
          <w:b/>
        </w:rPr>
        <w:t>ease</w:t>
      </w:r>
      <w:r>
        <w:rPr>
          <w:b/>
        </w:rPr>
        <w:t xml:space="preserve"> of the input</w:t>
      </w:r>
      <w:r w:rsidR="003B7C97">
        <w:rPr>
          <w:b/>
        </w:rPr>
        <w:t xml:space="preserve">. </w:t>
      </w:r>
      <w:r w:rsidR="003B7C97" w:rsidRPr="003B7C97">
        <w:t>Include the pulse-like increase of the input and s</w:t>
      </w:r>
      <w:r w:rsidR="000901DC" w:rsidRPr="003B7C97">
        <w:t>imulate both</w:t>
      </w:r>
      <w:r w:rsidR="000901DC">
        <w:t xml:space="preserve"> systems for </w:t>
      </w:r>
      <w:r w:rsidR="000901DC" w:rsidRPr="00690176">
        <w:rPr>
          <w:b/>
        </w:rPr>
        <w:t>200</w:t>
      </w:r>
      <w:r w:rsidR="000901DC">
        <w:t xml:space="preserve"> seconds. </w:t>
      </w:r>
      <w:r w:rsidR="00391ECA">
        <w:t xml:space="preserve">Plot the simulated </w:t>
      </w:r>
      <w:r w:rsidR="003B7C97">
        <w:t>concentration changes</w:t>
      </w:r>
      <w:r w:rsidR="00391ECA">
        <w:t xml:space="preserve"> of the species </w:t>
      </w:r>
      <w:r w:rsidR="003B7C97">
        <w:t>for each model in a separate plot</w:t>
      </w:r>
      <w:r w:rsidR="00391ECA">
        <w:t>.</w:t>
      </w:r>
    </w:p>
    <w:p w:rsidR="0007413A" w:rsidRDefault="003B7C97" w:rsidP="00911F02">
      <w:pPr>
        <w:pStyle w:val="ListParagraph"/>
        <w:ind w:left="360"/>
        <w:rPr>
          <w:i/>
        </w:rPr>
      </w:pPr>
      <w:r>
        <w:rPr>
          <w:i/>
        </w:rPr>
        <w:t>T</w:t>
      </w:r>
      <w:r w:rsidRPr="00F441F3">
        <w:rPr>
          <w:i/>
        </w:rPr>
        <w:t xml:space="preserve">o achieve a </w:t>
      </w:r>
      <w:r>
        <w:rPr>
          <w:i/>
        </w:rPr>
        <w:t>pulse</w:t>
      </w:r>
      <w:r w:rsidRPr="00F441F3">
        <w:rPr>
          <w:i/>
        </w:rPr>
        <w:t xml:space="preserve"> – like input increase that happens after 40 seconds in simulation</w:t>
      </w:r>
      <w:r>
        <w:rPr>
          <w:i/>
        </w:rPr>
        <w:t xml:space="preserve"> and terminates after 80 seconds</w:t>
      </w:r>
      <w:r>
        <w:rPr>
          <w:i/>
        </w:rPr>
        <w:t>, i</w:t>
      </w:r>
      <w:r w:rsidR="00911F02" w:rsidRPr="00F441F3">
        <w:rPr>
          <w:i/>
        </w:rPr>
        <w:t>nclude</w:t>
      </w:r>
      <w:r w:rsidR="001A57AB">
        <w:rPr>
          <w:i/>
        </w:rPr>
        <w:t xml:space="preserve"> in your code</w:t>
      </w:r>
      <w:r w:rsidR="00911F02" w:rsidRPr="00F441F3">
        <w:rPr>
          <w:i/>
        </w:rPr>
        <w:t xml:space="preserve"> the following command</w:t>
      </w:r>
      <w:r w:rsidR="008929CE">
        <w:rPr>
          <w:i/>
        </w:rPr>
        <w:t>s</w:t>
      </w:r>
      <w:r w:rsidR="00F11C66">
        <w:rPr>
          <w:i/>
        </w:rPr>
        <w:t xml:space="preserve">, </w:t>
      </w:r>
      <w:r w:rsidR="00F11C66" w:rsidRPr="00B624A7">
        <w:rPr>
          <w:b/>
          <w:i/>
        </w:rPr>
        <w:t>before si</w:t>
      </w:r>
      <w:r>
        <w:rPr>
          <w:b/>
          <w:i/>
        </w:rPr>
        <w:t>mulating the system</w:t>
      </w:r>
      <w:r w:rsidR="00911F02" w:rsidRPr="00F441F3">
        <w:rPr>
          <w:i/>
        </w:rPr>
        <w:t xml:space="preserve">: </w:t>
      </w:r>
    </w:p>
    <w:p w:rsidR="00911F02" w:rsidRDefault="00B152DA" w:rsidP="00911F02">
      <w:pPr>
        <w:pStyle w:val="ListParagraph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215C0">
        <w:rPr>
          <w:rFonts w:cs="Courier New"/>
          <w:i/>
          <w:color w:val="000000"/>
        </w:rPr>
        <w:t>addevent</w:t>
      </w:r>
      <w:proofErr w:type="spellEnd"/>
      <w:r w:rsidRPr="008215C0">
        <w:rPr>
          <w:rFonts w:cs="Courier New"/>
          <w:i/>
          <w:color w:val="000000"/>
        </w:rPr>
        <w:t>(</w:t>
      </w:r>
      <w:r w:rsidRPr="008215C0">
        <w:rPr>
          <w:rFonts w:cs="Courier New"/>
          <w:b/>
          <w:i/>
          <w:color w:val="000000"/>
        </w:rPr>
        <w:t>modelObj</w:t>
      </w:r>
      <w:r>
        <w:rPr>
          <w:rFonts w:cs="Courier New"/>
          <w:b/>
          <w:i/>
          <w:color w:val="000000"/>
        </w:rPr>
        <w:t>1</w:t>
      </w:r>
      <w:r w:rsidRPr="008215C0">
        <w:rPr>
          <w:rFonts w:cs="Courier New"/>
          <w:i/>
          <w:color w:val="000000"/>
        </w:rPr>
        <w:t xml:space="preserve">, </w:t>
      </w:r>
      <w:r w:rsidRPr="008215C0">
        <w:rPr>
          <w:rFonts w:cs="Courier New"/>
          <w:i/>
          <w:color w:val="A020F0"/>
        </w:rPr>
        <w:t>'time&gt;= 40'</w:t>
      </w:r>
      <w:r w:rsidRPr="008215C0">
        <w:rPr>
          <w:rFonts w:cs="Courier New"/>
          <w:i/>
          <w:color w:val="000000"/>
        </w:rPr>
        <w:t>, {</w:t>
      </w:r>
      <w:r w:rsidRPr="008215C0">
        <w:rPr>
          <w:rFonts w:cs="Courier New"/>
          <w:i/>
          <w:color w:val="A020F0"/>
        </w:rPr>
        <w:t>'Influx = 5'</w:t>
      </w:r>
      <w:r w:rsidRPr="008215C0">
        <w:rPr>
          <w:rFonts w:cs="Courier New"/>
          <w:i/>
          <w:color w:val="000000"/>
        </w:rPr>
        <w:t>});</w:t>
      </w:r>
    </w:p>
    <w:p w:rsidR="0007413A" w:rsidRPr="003B7C97" w:rsidRDefault="00B152DA" w:rsidP="003B7C97">
      <w:pPr>
        <w:rPr>
          <w:i/>
        </w:rPr>
      </w:pPr>
      <w:proofErr w:type="spellStart"/>
      <w:r w:rsidRPr="003B7C97">
        <w:rPr>
          <w:i/>
        </w:rPr>
        <w:lastRenderedPageBreak/>
        <w:t>addevent</w:t>
      </w:r>
      <w:proofErr w:type="spellEnd"/>
      <w:r w:rsidRPr="003B7C97">
        <w:rPr>
          <w:i/>
        </w:rPr>
        <w:t>(modelObj1, 'time&gt;= 80', {'Influx = 2'});</w:t>
      </w:r>
    </w:p>
    <w:p w:rsidR="00F468F6" w:rsidRPr="00EF6D83" w:rsidRDefault="006D2739" w:rsidP="00690176">
      <w:pPr>
        <w:pStyle w:val="ListParagraph"/>
        <w:numPr>
          <w:ilvl w:val="0"/>
          <w:numId w:val="11"/>
        </w:numPr>
      </w:pPr>
      <w:r>
        <w:t xml:space="preserve">Why would a biological system need to develop such </w:t>
      </w:r>
      <w:r w:rsidR="0063147F">
        <w:t xml:space="preserve">a </w:t>
      </w:r>
      <w:r>
        <w:t>regulation</w:t>
      </w:r>
      <w:r w:rsidR="003B7C97">
        <w:t xml:space="preserve"> mechanism</w:t>
      </w:r>
      <w:r>
        <w:t xml:space="preserve">? </w:t>
      </w:r>
    </w:p>
    <w:p w:rsidR="00947AEB" w:rsidRDefault="00041577" w:rsidP="00947AEB">
      <w:pPr>
        <w:pStyle w:val="Caption"/>
        <w:keepNext/>
        <w:jc w:val="center"/>
      </w:pPr>
      <w:bookmarkStart w:id="0" w:name="_GoBack"/>
      <w:bookmarkEnd w:id="0"/>
      <w:r>
        <w:br w:type="column"/>
      </w:r>
    </w:p>
    <w:p w:rsidR="00BE3F90" w:rsidRDefault="00BE3F90" w:rsidP="00947AEB">
      <w:pPr>
        <w:pStyle w:val="Caption"/>
        <w:keepNext/>
        <w:jc w:val="center"/>
      </w:pPr>
      <w:r>
        <w:t xml:space="preserve">Table </w:t>
      </w:r>
      <w:r w:rsidR="00947AEB">
        <w:t>1</w:t>
      </w:r>
      <w:r>
        <w:t>: Initial values (</w:t>
      </w:r>
      <w:proofErr w:type="spellStart"/>
      <w:r>
        <w:t>mM</w:t>
      </w:r>
      <w:proofErr w:type="spellEnd"/>
      <w: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65"/>
        <w:gridCol w:w="1670"/>
      </w:tblGrid>
      <w:tr w:rsidR="00BE3F90" w:rsidTr="00947AEB">
        <w:trPr>
          <w:trHeight w:val="511"/>
          <w:jc w:val="center"/>
        </w:trPr>
        <w:tc>
          <w:tcPr>
            <w:tcW w:w="1965" w:type="dxa"/>
            <w:vAlign w:val="center"/>
          </w:tcPr>
          <w:p w:rsidR="00BE3F90" w:rsidRDefault="00BE3F90" w:rsidP="00947AEB">
            <w:pPr>
              <w:jc w:val="center"/>
              <w:rPr>
                <w:b/>
              </w:rPr>
            </w:pPr>
            <w:r>
              <w:rPr>
                <w:b/>
              </w:rPr>
              <w:t>Species Name</w:t>
            </w:r>
          </w:p>
        </w:tc>
        <w:tc>
          <w:tcPr>
            <w:tcW w:w="1670" w:type="dxa"/>
            <w:vAlign w:val="center"/>
          </w:tcPr>
          <w:p w:rsidR="00BE3F90" w:rsidRDefault="00BE3F90" w:rsidP="009F69F2">
            <w:pPr>
              <w:jc w:val="center"/>
              <w:rPr>
                <w:b/>
              </w:rPr>
            </w:pPr>
            <w:r>
              <w:rPr>
                <w:b/>
              </w:rPr>
              <w:t>Initial Value</w:t>
            </w:r>
          </w:p>
        </w:tc>
      </w:tr>
      <w:tr w:rsidR="009F69F2" w:rsidTr="00EF2B0F">
        <w:trPr>
          <w:trHeight w:val="511"/>
          <w:jc w:val="center"/>
        </w:trPr>
        <w:tc>
          <w:tcPr>
            <w:tcW w:w="1965" w:type="dxa"/>
            <w:shd w:val="clear" w:color="auto" w:fill="F2F2F2" w:themeFill="background1" w:themeFillShade="F2"/>
            <w:vAlign w:val="center"/>
          </w:tcPr>
          <w:p w:rsidR="009F69F2" w:rsidRPr="00BE3F90" w:rsidRDefault="009F69F2" w:rsidP="009F69F2">
            <w:pPr>
              <w:jc w:val="center"/>
            </w:pPr>
            <w:r w:rsidRPr="00BE3F90">
              <w:t>F6P</w:t>
            </w:r>
          </w:p>
        </w:tc>
        <w:tc>
          <w:tcPr>
            <w:tcW w:w="1670" w:type="dxa"/>
            <w:shd w:val="clear" w:color="auto" w:fill="F2F2F2" w:themeFill="background1" w:themeFillShade="F2"/>
            <w:vAlign w:val="center"/>
          </w:tcPr>
          <w:p w:rsidR="009F69F2" w:rsidRPr="00BE3F90" w:rsidRDefault="009F69F2" w:rsidP="00BE3F90">
            <w:pPr>
              <w:jc w:val="center"/>
            </w:pPr>
            <w:r w:rsidRPr="00BE3F90">
              <w:t>3</w:t>
            </w:r>
          </w:p>
        </w:tc>
      </w:tr>
      <w:tr w:rsidR="009F69F2" w:rsidTr="00EF2B0F">
        <w:trPr>
          <w:trHeight w:val="532"/>
          <w:jc w:val="center"/>
        </w:trPr>
        <w:tc>
          <w:tcPr>
            <w:tcW w:w="1965" w:type="dxa"/>
            <w:shd w:val="clear" w:color="auto" w:fill="F2F2F2" w:themeFill="background1" w:themeFillShade="F2"/>
            <w:vAlign w:val="center"/>
          </w:tcPr>
          <w:p w:rsidR="009F69F2" w:rsidRPr="00BE3F90" w:rsidRDefault="009F69F2" w:rsidP="009F69F2">
            <w:pPr>
              <w:jc w:val="center"/>
            </w:pPr>
            <w:r w:rsidRPr="00BE3F90">
              <w:t>PEP</w:t>
            </w:r>
          </w:p>
        </w:tc>
        <w:tc>
          <w:tcPr>
            <w:tcW w:w="1670" w:type="dxa"/>
            <w:shd w:val="clear" w:color="auto" w:fill="F2F2F2" w:themeFill="background1" w:themeFillShade="F2"/>
            <w:vAlign w:val="center"/>
          </w:tcPr>
          <w:p w:rsidR="009F69F2" w:rsidRPr="00BE3F90" w:rsidRDefault="009F69F2" w:rsidP="00BE3F90">
            <w:pPr>
              <w:jc w:val="center"/>
            </w:pPr>
            <w:r w:rsidRPr="00BE3F90">
              <w:t>0.5</w:t>
            </w:r>
          </w:p>
        </w:tc>
      </w:tr>
    </w:tbl>
    <w:p w:rsidR="00BE3F90" w:rsidRDefault="00BE3F90" w:rsidP="008D62CB">
      <w:pPr>
        <w:rPr>
          <w:b/>
        </w:rPr>
      </w:pPr>
    </w:p>
    <w:p w:rsidR="00947AEB" w:rsidRDefault="00947AEB" w:rsidP="00947AEB">
      <w:pPr>
        <w:pStyle w:val="Caption"/>
        <w:keepNext/>
        <w:spacing w:after="0"/>
        <w:jc w:val="center"/>
      </w:pPr>
      <w:r>
        <w:t>Table 2: Parameter values</w:t>
      </w:r>
    </w:p>
    <w:tbl>
      <w:tblPr>
        <w:tblStyle w:val="TableGrid"/>
        <w:tblpPr w:leftFromText="180" w:rightFromText="180" w:vertAnchor="text" w:horzAnchor="page" w:tblpXSpec="center" w:tblpY="308"/>
        <w:tblW w:w="0" w:type="auto"/>
        <w:tblLook w:val="04A0" w:firstRow="1" w:lastRow="0" w:firstColumn="1" w:lastColumn="0" w:noHBand="0" w:noVBand="1"/>
      </w:tblPr>
      <w:tblGrid>
        <w:gridCol w:w="1809"/>
        <w:gridCol w:w="1183"/>
        <w:gridCol w:w="1794"/>
      </w:tblGrid>
      <w:tr w:rsidR="00947AEB" w:rsidTr="00041577">
        <w:trPr>
          <w:trHeight w:val="314"/>
        </w:trPr>
        <w:tc>
          <w:tcPr>
            <w:tcW w:w="1809" w:type="dxa"/>
            <w:vAlign w:val="center"/>
          </w:tcPr>
          <w:p w:rsidR="00947AEB" w:rsidRDefault="00947AEB" w:rsidP="00947AEB">
            <w:pPr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183" w:type="dxa"/>
            <w:vAlign w:val="center"/>
          </w:tcPr>
          <w:p w:rsidR="00947AEB" w:rsidRDefault="00947AEB" w:rsidP="00947AEB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1794" w:type="dxa"/>
            <w:vAlign w:val="center"/>
          </w:tcPr>
          <w:p w:rsidR="00947AEB" w:rsidRDefault="00947AEB" w:rsidP="00947AEB">
            <w:pPr>
              <w:jc w:val="center"/>
              <w:rPr>
                <w:b/>
              </w:rPr>
            </w:pPr>
            <w:r>
              <w:rPr>
                <w:b/>
              </w:rPr>
              <w:t>Unit</w:t>
            </w:r>
          </w:p>
        </w:tc>
      </w:tr>
      <w:tr w:rsidR="00947AEB" w:rsidTr="00BB71AE">
        <w:trPr>
          <w:trHeight w:val="314"/>
        </w:trPr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947AEB" w:rsidRPr="00BE3F90" w:rsidRDefault="00947AEB" w:rsidP="00D800E3">
            <w:pPr>
              <w:jc w:val="center"/>
            </w:pPr>
            <w:r>
              <w:t>Influx</w:t>
            </w:r>
          </w:p>
        </w:tc>
        <w:tc>
          <w:tcPr>
            <w:tcW w:w="1183" w:type="dxa"/>
            <w:shd w:val="clear" w:color="auto" w:fill="F2F2F2" w:themeFill="background1" w:themeFillShade="F2"/>
            <w:vAlign w:val="center"/>
          </w:tcPr>
          <w:p w:rsidR="00947AEB" w:rsidRPr="00BE3F90" w:rsidRDefault="00947AEB" w:rsidP="00D800E3">
            <w:pPr>
              <w:jc w:val="center"/>
            </w:pPr>
            <w:r>
              <w:t>2</w:t>
            </w:r>
          </w:p>
        </w:tc>
        <w:tc>
          <w:tcPr>
            <w:tcW w:w="1794" w:type="dxa"/>
            <w:shd w:val="clear" w:color="auto" w:fill="F2F2F2" w:themeFill="background1" w:themeFillShade="F2"/>
            <w:vAlign w:val="center"/>
          </w:tcPr>
          <w:p w:rsidR="00947AEB" w:rsidRPr="00BE3F90" w:rsidRDefault="00947AEB" w:rsidP="00D800E3">
            <w:pPr>
              <w:jc w:val="center"/>
            </w:pPr>
            <w:proofErr w:type="spellStart"/>
            <w:r>
              <w:t>mM</w:t>
            </w:r>
            <w:proofErr w:type="spellEnd"/>
            <w:r>
              <w:t xml:space="preserve"> / sec</w:t>
            </w:r>
          </w:p>
        </w:tc>
      </w:tr>
      <w:tr w:rsidR="00947AEB" w:rsidTr="00BB71AE">
        <w:trPr>
          <w:trHeight w:val="329"/>
        </w:trPr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947AEB" w:rsidRPr="00BE3F90" w:rsidRDefault="00947AEB" w:rsidP="00D800E3">
            <w:pPr>
              <w:jc w:val="center"/>
            </w:pPr>
            <w:proofErr w:type="spellStart"/>
            <w:r w:rsidRPr="00BE3F90">
              <w:t>KmPFK</w:t>
            </w:r>
            <w:proofErr w:type="spellEnd"/>
          </w:p>
        </w:tc>
        <w:tc>
          <w:tcPr>
            <w:tcW w:w="1183" w:type="dxa"/>
            <w:shd w:val="clear" w:color="auto" w:fill="F2F2F2" w:themeFill="background1" w:themeFillShade="F2"/>
            <w:vAlign w:val="center"/>
          </w:tcPr>
          <w:p w:rsidR="00947AEB" w:rsidRPr="00BE3F90" w:rsidRDefault="00947AEB" w:rsidP="00D800E3">
            <w:pPr>
              <w:jc w:val="center"/>
            </w:pPr>
            <w:r w:rsidRPr="00BE3F90">
              <w:t>0.16</w:t>
            </w:r>
          </w:p>
        </w:tc>
        <w:tc>
          <w:tcPr>
            <w:tcW w:w="1794" w:type="dxa"/>
            <w:shd w:val="clear" w:color="auto" w:fill="F2F2F2" w:themeFill="background1" w:themeFillShade="F2"/>
            <w:vAlign w:val="center"/>
          </w:tcPr>
          <w:p w:rsidR="00947AEB" w:rsidRPr="00BE3F90" w:rsidRDefault="00947AEB" w:rsidP="00D800E3">
            <w:pPr>
              <w:jc w:val="center"/>
            </w:pPr>
            <w:proofErr w:type="spellStart"/>
            <w:r w:rsidRPr="00BE3F90">
              <w:t>mM</w:t>
            </w:r>
            <w:proofErr w:type="spellEnd"/>
          </w:p>
        </w:tc>
      </w:tr>
      <w:tr w:rsidR="00947AEB" w:rsidTr="00BB71AE">
        <w:trPr>
          <w:trHeight w:val="314"/>
        </w:trPr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947AEB" w:rsidRPr="00BE3F90" w:rsidRDefault="00947AEB" w:rsidP="00D800E3">
            <w:pPr>
              <w:jc w:val="center"/>
            </w:pPr>
            <w:proofErr w:type="spellStart"/>
            <w:r>
              <w:t>VmaxPFK</w:t>
            </w:r>
            <w:proofErr w:type="spellEnd"/>
          </w:p>
        </w:tc>
        <w:tc>
          <w:tcPr>
            <w:tcW w:w="1183" w:type="dxa"/>
            <w:shd w:val="clear" w:color="auto" w:fill="F2F2F2" w:themeFill="background1" w:themeFillShade="F2"/>
            <w:vAlign w:val="center"/>
          </w:tcPr>
          <w:p w:rsidR="00947AEB" w:rsidRPr="00BE3F90" w:rsidRDefault="00947AEB" w:rsidP="00D800E3">
            <w:pPr>
              <w:jc w:val="center"/>
            </w:pPr>
            <w:r>
              <w:t>5</w:t>
            </w:r>
          </w:p>
        </w:tc>
        <w:tc>
          <w:tcPr>
            <w:tcW w:w="1794" w:type="dxa"/>
            <w:shd w:val="clear" w:color="auto" w:fill="F2F2F2" w:themeFill="background1" w:themeFillShade="F2"/>
            <w:vAlign w:val="center"/>
          </w:tcPr>
          <w:p w:rsidR="00947AEB" w:rsidRPr="00BE3F90" w:rsidRDefault="00947AEB" w:rsidP="00D800E3">
            <w:pPr>
              <w:jc w:val="center"/>
            </w:pPr>
            <w:proofErr w:type="spellStart"/>
            <w:r>
              <w:t>mM</w:t>
            </w:r>
            <w:proofErr w:type="spellEnd"/>
            <w:r>
              <w:t xml:space="preserve"> / sec</w:t>
            </w:r>
          </w:p>
        </w:tc>
      </w:tr>
      <w:tr w:rsidR="00947AEB" w:rsidTr="00BB71AE">
        <w:trPr>
          <w:trHeight w:val="329"/>
        </w:trPr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947AEB" w:rsidRPr="00BE3F90" w:rsidRDefault="00947AEB" w:rsidP="00D800E3">
            <w:pPr>
              <w:jc w:val="center"/>
            </w:pPr>
            <w:proofErr w:type="spellStart"/>
            <w:r>
              <w:t>KmPYK</w:t>
            </w:r>
            <w:proofErr w:type="spellEnd"/>
          </w:p>
        </w:tc>
        <w:tc>
          <w:tcPr>
            <w:tcW w:w="1183" w:type="dxa"/>
            <w:shd w:val="clear" w:color="auto" w:fill="F2F2F2" w:themeFill="background1" w:themeFillShade="F2"/>
            <w:vAlign w:val="center"/>
          </w:tcPr>
          <w:p w:rsidR="00947AEB" w:rsidRPr="00BE3F90" w:rsidRDefault="00947AEB" w:rsidP="00D800E3">
            <w:pPr>
              <w:jc w:val="center"/>
            </w:pPr>
            <w:r>
              <w:t>0.31</w:t>
            </w:r>
          </w:p>
        </w:tc>
        <w:tc>
          <w:tcPr>
            <w:tcW w:w="1794" w:type="dxa"/>
            <w:shd w:val="clear" w:color="auto" w:fill="F2F2F2" w:themeFill="background1" w:themeFillShade="F2"/>
            <w:vAlign w:val="center"/>
          </w:tcPr>
          <w:p w:rsidR="00947AEB" w:rsidRPr="00BE3F90" w:rsidRDefault="00947AEB" w:rsidP="00D800E3">
            <w:pPr>
              <w:jc w:val="center"/>
            </w:pPr>
            <w:proofErr w:type="spellStart"/>
            <w:r>
              <w:t>mM</w:t>
            </w:r>
            <w:proofErr w:type="spellEnd"/>
            <w:r>
              <w:t xml:space="preserve"> </w:t>
            </w:r>
          </w:p>
        </w:tc>
      </w:tr>
      <w:tr w:rsidR="00947AEB" w:rsidTr="00BB71AE">
        <w:trPr>
          <w:trHeight w:val="329"/>
        </w:trPr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947AEB" w:rsidRPr="00BE3F90" w:rsidRDefault="00947AEB" w:rsidP="00D800E3">
            <w:pPr>
              <w:jc w:val="center"/>
            </w:pPr>
            <w:proofErr w:type="spellStart"/>
            <w:r>
              <w:t>VmaxPYK</w:t>
            </w:r>
            <w:proofErr w:type="spellEnd"/>
          </w:p>
        </w:tc>
        <w:tc>
          <w:tcPr>
            <w:tcW w:w="1183" w:type="dxa"/>
            <w:shd w:val="clear" w:color="auto" w:fill="F2F2F2" w:themeFill="background1" w:themeFillShade="F2"/>
            <w:vAlign w:val="center"/>
          </w:tcPr>
          <w:p w:rsidR="00947AEB" w:rsidRPr="00BE3F90" w:rsidRDefault="008876B5" w:rsidP="00D800E3">
            <w:pPr>
              <w:jc w:val="center"/>
            </w:pPr>
            <w:r>
              <w:t>5</w:t>
            </w:r>
          </w:p>
        </w:tc>
        <w:tc>
          <w:tcPr>
            <w:tcW w:w="1794" w:type="dxa"/>
            <w:shd w:val="clear" w:color="auto" w:fill="F2F2F2" w:themeFill="background1" w:themeFillShade="F2"/>
            <w:vAlign w:val="center"/>
          </w:tcPr>
          <w:p w:rsidR="00947AEB" w:rsidRPr="00BE3F90" w:rsidRDefault="00947AEB" w:rsidP="00D800E3">
            <w:pPr>
              <w:jc w:val="center"/>
            </w:pPr>
            <w:proofErr w:type="spellStart"/>
            <w:r>
              <w:t>mM</w:t>
            </w:r>
            <w:proofErr w:type="spellEnd"/>
            <w:r>
              <w:t xml:space="preserve"> / sec</w:t>
            </w:r>
          </w:p>
        </w:tc>
      </w:tr>
      <w:tr w:rsidR="00041577" w:rsidTr="00BB71AE">
        <w:trPr>
          <w:trHeight w:val="329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041577" w:rsidRPr="00175FAA" w:rsidRDefault="00041577" w:rsidP="00D800E3">
            <w:pPr>
              <w:jc w:val="center"/>
              <w:rPr>
                <w:sz w:val="24"/>
                <w:szCs w:val="24"/>
              </w:rPr>
            </w:pPr>
            <w:r w:rsidRPr="00175FAA">
              <w:rPr>
                <w:sz w:val="24"/>
                <w:szCs w:val="24"/>
              </w:rPr>
              <w:t>a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center"/>
          </w:tcPr>
          <w:p w:rsidR="00041577" w:rsidRDefault="00041577" w:rsidP="00D800E3">
            <w:pPr>
              <w:jc w:val="center"/>
            </w:pPr>
            <w:r>
              <w:t>-2</w:t>
            </w:r>
          </w:p>
        </w:tc>
        <w:tc>
          <w:tcPr>
            <w:tcW w:w="1794" w:type="dxa"/>
            <w:shd w:val="clear" w:color="auto" w:fill="D9D9D9" w:themeFill="background1" w:themeFillShade="D9"/>
            <w:vAlign w:val="center"/>
          </w:tcPr>
          <w:p w:rsidR="00041577" w:rsidRDefault="00041577" w:rsidP="00041577">
            <w:pPr>
              <w:jc w:val="center"/>
            </w:pPr>
            <w:proofErr w:type="spellStart"/>
            <w:r>
              <w:t>unitless</w:t>
            </w:r>
            <w:proofErr w:type="spellEnd"/>
            <w:r>
              <w:t xml:space="preserve"> </w:t>
            </w:r>
            <w:r w:rsidR="00795890">
              <w:br/>
            </w:r>
            <w:r>
              <w:t>(</w:t>
            </w:r>
            <w:r w:rsidRPr="00DF50B6">
              <w:rPr>
                <w:b/>
              </w:rPr>
              <w:t>to be used only for Model 2</w:t>
            </w:r>
            <w:r>
              <w:t>)</w:t>
            </w:r>
          </w:p>
        </w:tc>
      </w:tr>
    </w:tbl>
    <w:p w:rsidR="00947AEB" w:rsidRDefault="00947AEB" w:rsidP="008D62CB">
      <w:pPr>
        <w:rPr>
          <w:b/>
        </w:rPr>
      </w:pPr>
    </w:p>
    <w:p w:rsidR="001008A6" w:rsidRDefault="001008A6" w:rsidP="008D62CB">
      <w:pPr>
        <w:rPr>
          <w:b/>
        </w:rPr>
      </w:pPr>
    </w:p>
    <w:p w:rsidR="002A13E3" w:rsidRPr="002A13E3" w:rsidRDefault="002A13E3" w:rsidP="008D62CB">
      <w:pPr>
        <w:rPr>
          <w:b/>
        </w:rPr>
      </w:pPr>
    </w:p>
    <w:p w:rsidR="00AD5AF8" w:rsidRDefault="00AD5AF8" w:rsidP="00950FD7"/>
    <w:p w:rsidR="004E58F6" w:rsidRDefault="004E58F6" w:rsidP="00AD5AF8">
      <w:pPr>
        <w:pStyle w:val="ListParagraph"/>
        <w:ind w:left="0"/>
        <w:rPr>
          <w:b/>
          <w:u w:val="single"/>
        </w:rPr>
      </w:pPr>
    </w:p>
    <w:p w:rsidR="004E58F6" w:rsidRDefault="004E58F6" w:rsidP="00AD5AF8">
      <w:pPr>
        <w:pStyle w:val="ListParagraph"/>
        <w:ind w:left="0"/>
        <w:rPr>
          <w:b/>
          <w:u w:val="single"/>
        </w:rPr>
      </w:pPr>
    </w:p>
    <w:p w:rsidR="00664E11" w:rsidRDefault="00664E11" w:rsidP="00416517">
      <w:pPr>
        <w:pStyle w:val="ListParagraph"/>
        <w:ind w:left="0"/>
      </w:pPr>
    </w:p>
    <w:p w:rsidR="00967C1A" w:rsidRDefault="00967C1A" w:rsidP="00967C1A">
      <w:pPr>
        <w:pStyle w:val="Heading2"/>
      </w:pPr>
    </w:p>
    <w:p w:rsidR="006C5389" w:rsidRDefault="006C5389" w:rsidP="006C5389">
      <w:pPr>
        <w:pStyle w:val="Caption"/>
        <w:keepNext/>
        <w:jc w:val="center"/>
      </w:pPr>
      <w:r>
        <w:t xml:space="preserve">Table 3: </w:t>
      </w:r>
      <w:r w:rsidR="00EE56B6">
        <w:t>(</w:t>
      </w:r>
      <w:r w:rsidR="00C56A7C">
        <w:t>Alternat</w:t>
      </w:r>
      <w:r w:rsidR="00EE56B6">
        <w:t>ive)</w:t>
      </w:r>
      <w:r w:rsidR="00C56A7C">
        <w:t xml:space="preserve"> </w:t>
      </w:r>
      <w:r w:rsidR="00C924D2">
        <w:t>Initial values (</w:t>
      </w:r>
      <w:proofErr w:type="spellStart"/>
      <w:r w:rsidR="00C924D2">
        <w:t>mM</w:t>
      </w:r>
      <w:proofErr w:type="spellEnd"/>
      <w:r w:rsidR="00C924D2"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1777"/>
        <w:gridCol w:w="1670"/>
      </w:tblGrid>
      <w:tr w:rsidR="00F2506E" w:rsidTr="00050628">
        <w:trPr>
          <w:trHeight w:val="511"/>
          <w:jc w:val="center"/>
        </w:trPr>
        <w:tc>
          <w:tcPr>
            <w:tcW w:w="328" w:type="dxa"/>
            <w:shd w:val="clear" w:color="auto" w:fill="auto"/>
            <w:vAlign w:val="center"/>
          </w:tcPr>
          <w:p w:rsidR="00F2506E" w:rsidRDefault="00F2506E" w:rsidP="00F2506E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777" w:type="dxa"/>
            <w:vAlign w:val="center"/>
          </w:tcPr>
          <w:p w:rsidR="00F2506E" w:rsidRDefault="00F2506E" w:rsidP="00D800E3">
            <w:pPr>
              <w:jc w:val="center"/>
              <w:rPr>
                <w:b/>
              </w:rPr>
            </w:pPr>
            <w:r>
              <w:rPr>
                <w:b/>
              </w:rPr>
              <w:t>Species Name</w:t>
            </w:r>
          </w:p>
        </w:tc>
        <w:tc>
          <w:tcPr>
            <w:tcW w:w="1670" w:type="dxa"/>
            <w:vAlign w:val="center"/>
          </w:tcPr>
          <w:p w:rsidR="00F2506E" w:rsidRDefault="00F2506E" w:rsidP="00D800E3">
            <w:pPr>
              <w:jc w:val="center"/>
              <w:rPr>
                <w:b/>
              </w:rPr>
            </w:pPr>
            <w:r>
              <w:rPr>
                <w:b/>
              </w:rPr>
              <w:t>Initial Value</w:t>
            </w:r>
          </w:p>
        </w:tc>
      </w:tr>
      <w:tr w:rsidR="00F2506E" w:rsidTr="00A52D1A">
        <w:trPr>
          <w:trHeight w:val="511"/>
          <w:jc w:val="center"/>
        </w:trPr>
        <w:tc>
          <w:tcPr>
            <w:tcW w:w="328" w:type="dxa"/>
            <w:vMerge w:val="restart"/>
            <w:shd w:val="clear" w:color="auto" w:fill="DBE5F1" w:themeFill="accent1" w:themeFillTint="33"/>
            <w:vAlign w:val="center"/>
          </w:tcPr>
          <w:p w:rsidR="00F2506E" w:rsidRPr="00F2506E" w:rsidRDefault="00F2506E" w:rsidP="00F2506E">
            <w:pPr>
              <w:jc w:val="center"/>
              <w:rPr>
                <w:b/>
              </w:rPr>
            </w:pPr>
            <w:r w:rsidRPr="00F2506E">
              <w:rPr>
                <w:b/>
              </w:rPr>
              <w:t>1</w:t>
            </w:r>
          </w:p>
        </w:tc>
        <w:tc>
          <w:tcPr>
            <w:tcW w:w="1777" w:type="dxa"/>
            <w:shd w:val="clear" w:color="auto" w:fill="DBE5F1" w:themeFill="accent1" w:themeFillTint="33"/>
            <w:vAlign w:val="center"/>
          </w:tcPr>
          <w:p w:rsidR="00F2506E" w:rsidRPr="00BE3F90" w:rsidRDefault="00F2506E" w:rsidP="00D800E3">
            <w:pPr>
              <w:jc w:val="center"/>
            </w:pPr>
            <w:r w:rsidRPr="00BE3F90">
              <w:t>F6P</w:t>
            </w:r>
          </w:p>
        </w:tc>
        <w:tc>
          <w:tcPr>
            <w:tcW w:w="1670" w:type="dxa"/>
            <w:shd w:val="clear" w:color="auto" w:fill="DBE5F1" w:themeFill="accent1" w:themeFillTint="33"/>
            <w:vAlign w:val="center"/>
          </w:tcPr>
          <w:p w:rsidR="00F2506E" w:rsidRPr="00BE3F90" w:rsidRDefault="007E598A" w:rsidP="00D800E3">
            <w:pPr>
              <w:jc w:val="center"/>
            </w:pPr>
            <w:r>
              <w:t>0.03</w:t>
            </w:r>
          </w:p>
        </w:tc>
      </w:tr>
      <w:tr w:rsidR="00F2506E" w:rsidTr="00A52D1A">
        <w:trPr>
          <w:trHeight w:val="532"/>
          <w:jc w:val="center"/>
        </w:trPr>
        <w:tc>
          <w:tcPr>
            <w:tcW w:w="328" w:type="dxa"/>
            <w:vMerge/>
            <w:shd w:val="clear" w:color="auto" w:fill="DBE5F1" w:themeFill="accent1" w:themeFillTint="33"/>
            <w:vAlign w:val="center"/>
          </w:tcPr>
          <w:p w:rsidR="00F2506E" w:rsidRPr="00BE3F90" w:rsidRDefault="00F2506E" w:rsidP="00F2506E">
            <w:pPr>
              <w:jc w:val="center"/>
            </w:pPr>
          </w:p>
        </w:tc>
        <w:tc>
          <w:tcPr>
            <w:tcW w:w="1777" w:type="dxa"/>
            <w:shd w:val="clear" w:color="auto" w:fill="DBE5F1" w:themeFill="accent1" w:themeFillTint="33"/>
            <w:vAlign w:val="center"/>
          </w:tcPr>
          <w:p w:rsidR="00F2506E" w:rsidRPr="00BE3F90" w:rsidRDefault="00F2506E" w:rsidP="00D800E3">
            <w:pPr>
              <w:jc w:val="center"/>
            </w:pPr>
            <w:r w:rsidRPr="00BE3F90">
              <w:t>PEP</w:t>
            </w:r>
          </w:p>
        </w:tc>
        <w:tc>
          <w:tcPr>
            <w:tcW w:w="1670" w:type="dxa"/>
            <w:shd w:val="clear" w:color="auto" w:fill="DBE5F1" w:themeFill="accent1" w:themeFillTint="33"/>
            <w:vAlign w:val="center"/>
          </w:tcPr>
          <w:p w:rsidR="00F2506E" w:rsidRPr="00BE3F90" w:rsidRDefault="00F2506E" w:rsidP="00D800E3">
            <w:pPr>
              <w:jc w:val="center"/>
            </w:pPr>
            <w:r w:rsidRPr="00BE3F90">
              <w:t>0.</w:t>
            </w:r>
            <w:r w:rsidR="007E598A">
              <w:t>00</w:t>
            </w:r>
            <w:r w:rsidRPr="00BE3F90">
              <w:t>5</w:t>
            </w:r>
          </w:p>
        </w:tc>
      </w:tr>
      <w:tr w:rsidR="00F2506E" w:rsidTr="00A52D1A">
        <w:trPr>
          <w:trHeight w:val="532"/>
          <w:jc w:val="center"/>
        </w:trPr>
        <w:tc>
          <w:tcPr>
            <w:tcW w:w="328" w:type="dxa"/>
            <w:vMerge w:val="restart"/>
            <w:shd w:val="clear" w:color="auto" w:fill="EAF1DD" w:themeFill="accent3" w:themeFillTint="33"/>
            <w:vAlign w:val="center"/>
          </w:tcPr>
          <w:p w:rsidR="00F2506E" w:rsidRPr="00F2506E" w:rsidRDefault="00F2506E" w:rsidP="00D800E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77" w:type="dxa"/>
            <w:shd w:val="clear" w:color="auto" w:fill="EAF1DD" w:themeFill="accent3" w:themeFillTint="33"/>
            <w:vAlign w:val="center"/>
          </w:tcPr>
          <w:p w:rsidR="00F2506E" w:rsidRPr="00BE3F90" w:rsidRDefault="00F2506E" w:rsidP="00D800E3">
            <w:pPr>
              <w:jc w:val="center"/>
            </w:pPr>
            <w:r w:rsidRPr="00BE3F90">
              <w:t>F6P</w:t>
            </w:r>
          </w:p>
        </w:tc>
        <w:tc>
          <w:tcPr>
            <w:tcW w:w="1670" w:type="dxa"/>
            <w:shd w:val="clear" w:color="auto" w:fill="EAF1DD" w:themeFill="accent3" w:themeFillTint="33"/>
            <w:vAlign w:val="center"/>
          </w:tcPr>
          <w:p w:rsidR="00F2506E" w:rsidRPr="00BE3F90" w:rsidRDefault="009959C7" w:rsidP="00D800E3">
            <w:pPr>
              <w:jc w:val="center"/>
            </w:pPr>
            <w:r>
              <w:t>0.01</w:t>
            </w:r>
          </w:p>
        </w:tc>
      </w:tr>
      <w:tr w:rsidR="00F2506E" w:rsidTr="00A52D1A">
        <w:trPr>
          <w:trHeight w:val="532"/>
          <w:jc w:val="center"/>
        </w:trPr>
        <w:tc>
          <w:tcPr>
            <w:tcW w:w="328" w:type="dxa"/>
            <w:vMerge/>
            <w:shd w:val="clear" w:color="auto" w:fill="EAF1DD" w:themeFill="accent3" w:themeFillTint="33"/>
            <w:vAlign w:val="center"/>
          </w:tcPr>
          <w:p w:rsidR="00F2506E" w:rsidRPr="00BE3F90" w:rsidRDefault="00F2506E" w:rsidP="00D800E3">
            <w:pPr>
              <w:jc w:val="center"/>
            </w:pPr>
          </w:p>
        </w:tc>
        <w:tc>
          <w:tcPr>
            <w:tcW w:w="1777" w:type="dxa"/>
            <w:shd w:val="clear" w:color="auto" w:fill="EAF1DD" w:themeFill="accent3" w:themeFillTint="33"/>
            <w:vAlign w:val="center"/>
          </w:tcPr>
          <w:p w:rsidR="00F2506E" w:rsidRPr="00BE3F90" w:rsidRDefault="00F2506E" w:rsidP="00D800E3">
            <w:pPr>
              <w:jc w:val="center"/>
            </w:pPr>
            <w:r w:rsidRPr="00BE3F90">
              <w:t>PEP</w:t>
            </w:r>
          </w:p>
        </w:tc>
        <w:tc>
          <w:tcPr>
            <w:tcW w:w="1670" w:type="dxa"/>
            <w:shd w:val="clear" w:color="auto" w:fill="EAF1DD" w:themeFill="accent3" w:themeFillTint="33"/>
            <w:vAlign w:val="center"/>
          </w:tcPr>
          <w:p w:rsidR="00F2506E" w:rsidRPr="00BE3F90" w:rsidRDefault="009959C7" w:rsidP="00D800E3">
            <w:pPr>
              <w:jc w:val="center"/>
            </w:pPr>
            <w:r>
              <w:t>7</w:t>
            </w:r>
          </w:p>
        </w:tc>
      </w:tr>
      <w:tr w:rsidR="00B95C66" w:rsidTr="00A52D1A">
        <w:trPr>
          <w:trHeight w:val="532"/>
          <w:jc w:val="center"/>
        </w:trPr>
        <w:tc>
          <w:tcPr>
            <w:tcW w:w="328" w:type="dxa"/>
            <w:vMerge w:val="restart"/>
            <w:shd w:val="clear" w:color="auto" w:fill="FDE9D9" w:themeFill="accent6" w:themeFillTint="33"/>
            <w:vAlign w:val="center"/>
          </w:tcPr>
          <w:p w:rsidR="00B95C66" w:rsidRPr="00F2506E" w:rsidRDefault="00B95C66" w:rsidP="00D800E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77" w:type="dxa"/>
            <w:shd w:val="clear" w:color="auto" w:fill="FDE9D9" w:themeFill="accent6" w:themeFillTint="33"/>
            <w:vAlign w:val="center"/>
          </w:tcPr>
          <w:p w:rsidR="00B95C66" w:rsidRPr="00BE3F90" w:rsidRDefault="00B95C66" w:rsidP="00D800E3">
            <w:pPr>
              <w:jc w:val="center"/>
            </w:pPr>
            <w:r w:rsidRPr="00BE3F90">
              <w:t>F6P</w:t>
            </w:r>
          </w:p>
        </w:tc>
        <w:tc>
          <w:tcPr>
            <w:tcW w:w="1670" w:type="dxa"/>
            <w:shd w:val="clear" w:color="auto" w:fill="FDE9D9" w:themeFill="accent6" w:themeFillTint="33"/>
            <w:vAlign w:val="center"/>
          </w:tcPr>
          <w:p w:rsidR="00B95C66" w:rsidRPr="00BE3F90" w:rsidRDefault="0038474E" w:rsidP="00D800E3">
            <w:pPr>
              <w:jc w:val="center"/>
            </w:pPr>
            <w:r>
              <w:t>10</w:t>
            </w:r>
          </w:p>
        </w:tc>
      </w:tr>
      <w:tr w:rsidR="00B95C66" w:rsidTr="00A52D1A">
        <w:trPr>
          <w:trHeight w:val="532"/>
          <w:jc w:val="center"/>
        </w:trPr>
        <w:tc>
          <w:tcPr>
            <w:tcW w:w="328" w:type="dxa"/>
            <w:vMerge/>
            <w:shd w:val="clear" w:color="auto" w:fill="FDE9D9" w:themeFill="accent6" w:themeFillTint="33"/>
            <w:vAlign w:val="center"/>
          </w:tcPr>
          <w:p w:rsidR="00B95C66" w:rsidRPr="00BE3F90" w:rsidRDefault="00B95C66" w:rsidP="00D800E3">
            <w:pPr>
              <w:jc w:val="center"/>
            </w:pPr>
          </w:p>
        </w:tc>
        <w:tc>
          <w:tcPr>
            <w:tcW w:w="1777" w:type="dxa"/>
            <w:shd w:val="clear" w:color="auto" w:fill="FDE9D9" w:themeFill="accent6" w:themeFillTint="33"/>
            <w:vAlign w:val="center"/>
          </w:tcPr>
          <w:p w:rsidR="00B95C66" w:rsidRPr="00BE3F90" w:rsidRDefault="00B95C66" w:rsidP="00D800E3">
            <w:pPr>
              <w:jc w:val="center"/>
            </w:pPr>
            <w:r w:rsidRPr="00BE3F90">
              <w:t>PEP</w:t>
            </w:r>
          </w:p>
        </w:tc>
        <w:tc>
          <w:tcPr>
            <w:tcW w:w="1670" w:type="dxa"/>
            <w:shd w:val="clear" w:color="auto" w:fill="FDE9D9" w:themeFill="accent6" w:themeFillTint="33"/>
            <w:vAlign w:val="center"/>
          </w:tcPr>
          <w:p w:rsidR="00B95C66" w:rsidRPr="00BE3F90" w:rsidRDefault="0038474E" w:rsidP="00D800E3">
            <w:pPr>
              <w:jc w:val="center"/>
            </w:pPr>
            <w:r>
              <w:t>0.2</w:t>
            </w:r>
          </w:p>
        </w:tc>
      </w:tr>
      <w:tr w:rsidR="008E5EEE" w:rsidTr="00A52D1A">
        <w:trPr>
          <w:trHeight w:val="532"/>
          <w:jc w:val="center"/>
        </w:trPr>
        <w:tc>
          <w:tcPr>
            <w:tcW w:w="328" w:type="dxa"/>
            <w:vMerge w:val="restart"/>
            <w:shd w:val="clear" w:color="auto" w:fill="E5DFEC" w:themeFill="accent4" w:themeFillTint="33"/>
            <w:vAlign w:val="center"/>
          </w:tcPr>
          <w:p w:rsidR="008E5EEE" w:rsidRPr="00F2506E" w:rsidRDefault="008E5EEE" w:rsidP="00D800E3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77" w:type="dxa"/>
            <w:shd w:val="clear" w:color="auto" w:fill="E5DFEC" w:themeFill="accent4" w:themeFillTint="33"/>
            <w:vAlign w:val="center"/>
          </w:tcPr>
          <w:p w:rsidR="008E5EEE" w:rsidRPr="00BE3F90" w:rsidRDefault="008E5EEE" w:rsidP="00D800E3">
            <w:pPr>
              <w:jc w:val="center"/>
            </w:pPr>
            <w:r w:rsidRPr="00BE3F90">
              <w:t>F6P</w:t>
            </w:r>
          </w:p>
        </w:tc>
        <w:tc>
          <w:tcPr>
            <w:tcW w:w="1670" w:type="dxa"/>
            <w:shd w:val="clear" w:color="auto" w:fill="E5DFEC" w:themeFill="accent4" w:themeFillTint="33"/>
            <w:vAlign w:val="center"/>
          </w:tcPr>
          <w:p w:rsidR="008E5EEE" w:rsidRPr="00BE3F90" w:rsidRDefault="00C62AF0" w:rsidP="00D800E3">
            <w:pPr>
              <w:jc w:val="center"/>
            </w:pPr>
            <w:r>
              <w:t>11</w:t>
            </w:r>
          </w:p>
        </w:tc>
      </w:tr>
      <w:tr w:rsidR="008E5EEE" w:rsidTr="00A52D1A">
        <w:trPr>
          <w:trHeight w:val="532"/>
          <w:jc w:val="center"/>
        </w:trPr>
        <w:tc>
          <w:tcPr>
            <w:tcW w:w="328" w:type="dxa"/>
            <w:vMerge/>
            <w:shd w:val="clear" w:color="auto" w:fill="E5DFEC" w:themeFill="accent4" w:themeFillTint="33"/>
            <w:vAlign w:val="center"/>
          </w:tcPr>
          <w:p w:rsidR="008E5EEE" w:rsidRPr="00BE3F90" w:rsidRDefault="008E5EEE" w:rsidP="00D800E3">
            <w:pPr>
              <w:jc w:val="center"/>
            </w:pPr>
          </w:p>
        </w:tc>
        <w:tc>
          <w:tcPr>
            <w:tcW w:w="1777" w:type="dxa"/>
            <w:shd w:val="clear" w:color="auto" w:fill="E5DFEC" w:themeFill="accent4" w:themeFillTint="33"/>
            <w:vAlign w:val="center"/>
          </w:tcPr>
          <w:p w:rsidR="008E5EEE" w:rsidRPr="00BE3F90" w:rsidRDefault="008E5EEE" w:rsidP="00D800E3">
            <w:pPr>
              <w:jc w:val="center"/>
            </w:pPr>
            <w:r w:rsidRPr="00BE3F90">
              <w:t>PEP</w:t>
            </w:r>
          </w:p>
        </w:tc>
        <w:tc>
          <w:tcPr>
            <w:tcW w:w="1670" w:type="dxa"/>
            <w:shd w:val="clear" w:color="auto" w:fill="E5DFEC" w:themeFill="accent4" w:themeFillTint="33"/>
            <w:vAlign w:val="center"/>
          </w:tcPr>
          <w:p w:rsidR="008E5EEE" w:rsidRPr="00BE3F90" w:rsidRDefault="00C62AF0" w:rsidP="00D800E3">
            <w:pPr>
              <w:jc w:val="center"/>
            </w:pPr>
            <w:r>
              <w:t>11</w:t>
            </w:r>
          </w:p>
        </w:tc>
      </w:tr>
    </w:tbl>
    <w:p w:rsidR="00665F8D" w:rsidRDefault="00665F8D" w:rsidP="006C5389"/>
    <w:p w:rsidR="00665F8D" w:rsidRPr="006C5389" w:rsidRDefault="00665F8D" w:rsidP="006C5389">
      <w:r>
        <w:br w:type="column"/>
      </w:r>
    </w:p>
    <w:p w:rsidR="00543C28" w:rsidRDefault="00543C28" w:rsidP="00543C28">
      <w:pPr>
        <w:pStyle w:val="Caption"/>
        <w:keepNext/>
        <w:jc w:val="center"/>
      </w:pPr>
      <w:r>
        <w:t>Table 4: Parameter ranges for parameter scan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4"/>
        <w:gridCol w:w="2643"/>
        <w:gridCol w:w="2159"/>
        <w:gridCol w:w="1200"/>
      </w:tblGrid>
      <w:tr w:rsidR="00665F8D" w:rsidTr="00AD2E15">
        <w:trPr>
          <w:trHeight w:val="443"/>
          <w:jc w:val="center"/>
        </w:trPr>
        <w:tc>
          <w:tcPr>
            <w:tcW w:w="714" w:type="dxa"/>
            <w:vAlign w:val="center"/>
          </w:tcPr>
          <w:p w:rsidR="00665F8D" w:rsidRPr="00043C28" w:rsidRDefault="00665F8D" w:rsidP="00043C28">
            <w:pPr>
              <w:jc w:val="center"/>
              <w:rPr>
                <w:b/>
              </w:rPr>
            </w:pPr>
            <w:r w:rsidRPr="00043C28">
              <w:rPr>
                <w:b/>
              </w:rPr>
              <w:t>#</w:t>
            </w:r>
          </w:p>
        </w:tc>
        <w:tc>
          <w:tcPr>
            <w:tcW w:w="2643" w:type="dxa"/>
            <w:vAlign w:val="center"/>
          </w:tcPr>
          <w:p w:rsidR="00665F8D" w:rsidRDefault="00665F8D" w:rsidP="00043C28">
            <w:pPr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2159" w:type="dxa"/>
            <w:vAlign w:val="center"/>
          </w:tcPr>
          <w:p w:rsidR="00665F8D" w:rsidRDefault="00665F8D" w:rsidP="00043C2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  <w:r w:rsidR="002F12C1">
              <w:rPr>
                <w:b/>
              </w:rPr>
              <w:t xml:space="preserve"> Range</w:t>
            </w:r>
          </w:p>
        </w:tc>
        <w:tc>
          <w:tcPr>
            <w:tcW w:w="1200" w:type="dxa"/>
            <w:vAlign w:val="center"/>
          </w:tcPr>
          <w:p w:rsidR="00665F8D" w:rsidRDefault="00665F8D" w:rsidP="00043C28">
            <w:pPr>
              <w:jc w:val="center"/>
              <w:rPr>
                <w:b/>
              </w:rPr>
            </w:pPr>
            <w:r>
              <w:rPr>
                <w:b/>
              </w:rPr>
              <w:t>Unit</w:t>
            </w:r>
          </w:p>
        </w:tc>
      </w:tr>
      <w:tr w:rsidR="00665F8D" w:rsidTr="00AD2E15">
        <w:trPr>
          <w:trHeight w:val="443"/>
          <w:jc w:val="center"/>
        </w:trPr>
        <w:tc>
          <w:tcPr>
            <w:tcW w:w="714" w:type="dxa"/>
            <w:shd w:val="clear" w:color="auto" w:fill="DBE5F1" w:themeFill="accent1" w:themeFillTint="33"/>
            <w:vAlign w:val="center"/>
          </w:tcPr>
          <w:p w:rsidR="00665F8D" w:rsidRDefault="000F2E91" w:rsidP="00043C28">
            <w:pPr>
              <w:jc w:val="center"/>
            </w:pPr>
            <w:r>
              <w:t>1</w:t>
            </w:r>
          </w:p>
        </w:tc>
        <w:tc>
          <w:tcPr>
            <w:tcW w:w="2643" w:type="dxa"/>
            <w:shd w:val="clear" w:color="auto" w:fill="DBE5F1" w:themeFill="accent1" w:themeFillTint="33"/>
            <w:vAlign w:val="center"/>
          </w:tcPr>
          <w:p w:rsidR="00665F8D" w:rsidRDefault="001F4A45" w:rsidP="00043C28">
            <w:pPr>
              <w:jc w:val="center"/>
            </w:pPr>
            <w:proofErr w:type="spellStart"/>
            <w:r>
              <w:t>KmPFK</w:t>
            </w:r>
            <w:proofErr w:type="spellEnd"/>
          </w:p>
        </w:tc>
        <w:tc>
          <w:tcPr>
            <w:tcW w:w="2159" w:type="dxa"/>
            <w:shd w:val="clear" w:color="auto" w:fill="DBE5F1" w:themeFill="accent1" w:themeFillTint="33"/>
            <w:vAlign w:val="center"/>
          </w:tcPr>
          <w:p w:rsidR="00665F8D" w:rsidRDefault="00AD2E15" w:rsidP="00043C28">
            <w:pPr>
              <w:jc w:val="center"/>
            </w:pPr>
            <w:r>
              <w:t xml:space="preserve">0.16 – 5 </w:t>
            </w:r>
            <w:r>
              <w:br/>
              <w:t xml:space="preserve">(with </w:t>
            </w:r>
            <w:r w:rsidR="006E4725">
              <w:t xml:space="preserve">a </w:t>
            </w:r>
            <w:r>
              <w:t>step of 0.1)</w:t>
            </w:r>
          </w:p>
        </w:tc>
        <w:tc>
          <w:tcPr>
            <w:tcW w:w="1200" w:type="dxa"/>
            <w:shd w:val="clear" w:color="auto" w:fill="DBE5F1" w:themeFill="accent1" w:themeFillTint="33"/>
            <w:vAlign w:val="center"/>
          </w:tcPr>
          <w:p w:rsidR="00665F8D" w:rsidRDefault="00604946" w:rsidP="00043C28">
            <w:pPr>
              <w:jc w:val="center"/>
            </w:pPr>
            <w:proofErr w:type="spellStart"/>
            <w:r>
              <w:t>mM</w:t>
            </w:r>
            <w:proofErr w:type="spellEnd"/>
          </w:p>
        </w:tc>
      </w:tr>
      <w:tr w:rsidR="00665F8D" w:rsidTr="00AD2E15">
        <w:trPr>
          <w:trHeight w:val="463"/>
          <w:jc w:val="center"/>
        </w:trPr>
        <w:tc>
          <w:tcPr>
            <w:tcW w:w="714" w:type="dxa"/>
            <w:shd w:val="clear" w:color="auto" w:fill="EAF1DD" w:themeFill="accent3" w:themeFillTint="33"/>
            <w:vAlign w:val="center"/>
          </w:tcPr>
          <w:p w:rsidR="00665F8D" w:rsidRDefault="000F2E91" w:rsidP="00043C28">
            <w:pPr>
              <w:jc w:val="center"/>
            </w:pPr>
            <w:r>
              <w:t>2</w:t>
            </w:r>
          </w:p>
        </w:tc>
        <w:tc>
          <w:tcPr>
            <w:tcW w:w="2643" w:type="dxa"/>
            <w:shd w:val="clear" w:color="auto" w:fill="EAF1DD" w:themeFill="accent3" w:themeFillTint="33"/>
            <w:vAlign w:val="center"/>
          </w:tcPr>
          <w:p w:rsidR="00665F8D" w:rsidRDefault="001F4A45" w:rsidP="00043C28">
            <w:pPr>
              <w:jc w:val="center"/>
            </w:pPr>
            <w:proofErr w:type="spellStart"/>
            <w:r>
              <w:t>VmaxPYK</w:t>
            </w:r>
            <w:proofErr w:type="spellEnd"/>
          </w:p>
        </w:tc>
        <w:tc>
          <w:tcPr>
            <w:tcW w:w="2159" w:type="dxa"/>
            <w:shd w:val="clear" w:color="auto" w:fill="EAF1DD" w:themeFill="accent3" w:themeFillTint="33"/>
            <w:vAlign w:val="center"/>
          </w:tcPr>
          <w:p w:rsidR="00665F8D" w:rsidRDefault="00AD2E15" w:rsidP="006A1385">
            <w:pPr>
              <w:jc w:val="center"/>
            </w:pPr>
            <w:r>
              <w:t xml:space="preserve">5 – 20 </w:t>
            </w:r>
            <w:r>
              <w:br/>
              <w:t xml:space="preserve">(with </w:t>
            </w:r>
            <w:r w:rsidR="006E4725">
              <w:t xml:space="preserve">a </w:t>
            </w:r>
            <w:r>
              <w:t xml:space="preserve">step of </w:t>
            </w:r>
            <w:r w:rsidR="006A1385">
              <w:t>1</w:t>
            </w:r>
            <w:r>
              <w:t>)</w:t>
            </w:r>
          </w:p>
        </w:tc>
        <w:tc>
          <w:tcPr>
            <w:tcW w:w="1200" w:type="dxa"/>
            <w:shd w:val="clear" w:color="auto" w:fill="EAF1DD" w:themeFill="accent3" w:themeFillTint="33"/>
            <w:vAlign w:val="center"/>
          </w:tcPr>
          <w:p w:rsidR="00665F8D" w:rsidRDefault="00604946" w:rsidP="00043C28">
            <w:pPr>
              <w:jc w:val="center"/>
            </w:pPr>
            <w:proofErr w:type="spellStart"/>
            <w:r>
              <w:t>mM</w:t>
            </w:r>
            <w:proofErr w:type="spellEnd"/>
            <w:r>
              <w:t xml:space="preserve"> / sec</w:t>
            </w:r>
          </w:p>
        </w:tc>
      </w:tr>
    </w:tbl>
    <w:p w:rsidR="006C5389" w:rsidRPr="006C5389" w:rsidRDefault="006C5389" w:rsidP="006C5389"/>
    <w:p w:rsidR="0006438E" w:rsidRDefault="0006438E" w:rsidP="004B2084">
      <w:pPr>
        <w:pStyle w:val="ListParagraph"/>
        <w:ind w:left="0"/>
      </w:pPr>
    </w:p>
    <w:sectPr w:rsidR="0006438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B718C"/>
    <w:multiLevelType w:val="hybridMultilevel"/>
    <w:tmpl w:val="3E189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A63E9"/>
    <w:multiLevelType w:val="hybridMultilevel"/>
    <w:tmpl w:val="36E8B4D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88001E"/>
    <w:multiLevelType w:val="hybridMultilevel"/>
    <w:tmpl w:val="D0CA72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E45F1F"/>
    <w:multiLevelType w:val="hybridMultilevel"/>
    <w:tmpl w:val="E1BEEC76"/>
    <w:lvl w:ilvl="0" w:tplc="63A880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3E404A"/>
    <w:multiLevelType w:val="hybridMultilevel"/>
    <w:tmpl w:val="4C8CFF4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37512A"/>
    <w:multiLevelType w:val="hybridMultilevel"/>
    <w:tmpl w:val="8416D21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D26E1D"/>
    <w:multiLevelType w:val="hybridMultilevel"/>
    <w:tmpl w:val="C2B04D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620CD1"/>
    <w:multiLevelType w:val="hybridMultilevel"/>
    <w:tmpl w:val="5FDE637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E5724F4"/>
    <w:multiLevelType w:val="hybridMultilevel"/>
    <w:tmpl w:val="8C0EA00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F400E30"/>
    <w:multiLevelType w:val="hybridMultilevel"/>
    <w:tmpl w:val="B636A4B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1C533D9"/>
    <w:multiLevelType w:val="hybridMultilevel"/>
    <w:tmpl w:val="5F746D3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22513B9"/>
    <w:multiLevelType w:val="hybridMultilevel"/>
    <w:tmpl w:val="AA18E35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282F5A"/>
    <w:multiLevelType w:val="hybridMultilevel"/>
    <w:tmpl w:val="9E1E6BD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7FA2A05"/>
    <w:multiLevelType w:val="hybridMultilevel"/>
    <w:tmpl w:val="DC72C0D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1C272B7"/>
    <w:multiLevelType w:val="hybridMultilevel"/>
    <w:tmpl w:val="E55C975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40A7C7D"/>
    <w:multiLevelType w:val="hybridMultilevel"/>
    <w:tmpl w:val="A0A45B7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60A3B04"/>
    <w:multiLevelType w:val="hybridMultilevel"/>
    <w:tmpl w:val="3CFA967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2"/>
  </w:num>
  <w:num w:numId="5">
    <w:abstractNumId w:val="15"/>
  </w:num>
  <w:num w:numId="6">
    <w:abstractNumId w:val="6"/>
  </w:num>
  <w:num w:numId="7">
    <w:abstractNumId w:val="5"/>
  </w:num>
  <w:num w:numId="8">
    <w:abstractNumId w:val="10"/>
  </w:num>
  <w:num w:numId="9">
    <w:abstractNumId w:val="14"/>
  </w:num>
  <w:num w:numId="10">
    <w:abstractNumId w:val="3"/>
  </w:num>
  <w:num w:numId="11">
    <w:abstractNumId w:val="13"/>
  </w:num>
  <w:num w:numId="12">
    <w:abstractNumId w:val="16"/>
  </w:num>
  <w:num w:numId="13">
    <w:abstractNumId w:val="9"/>
  </w:num>
  <w:num w:numId="14">
    <w:abstractNumId w:val="8"/>
  </w:num>
  <w:num w:numId="15">
    <w:abstractNumId w:val="1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F8E"/>
    <w:rsid w:val="00001BF7"/>
    <w:rsid w:val="0001164E"/>
    <w:rsid w:val="00020AD1"/>
    <w:rsid w:val="00031FB8"/>
    <w:rsid w:val="00033DFF"/>
    <w:rsid w:val="00035A9E"/>
    <w:rsid w:val="0003685E"/>
    <w:rsid w:val="00036E7D"/>
    <w:rsid w:val="00041577"/>
    <w:rsid w:val="00043C28"/>
    <w:rsid w:val="00050628"/>
    <w:rsid w:val="00051626"/>
    <w:rsid w:val="00053DAD"/>
    <w:rsid w:val="000621B8"/>
    <w:rsid w:val="0006438E"/>
    <w:rsid w:val="00064E24"/>
    <w:rsid w:val="00070065"/>
    <w:rsid w:val="000718CA"/>
    <w:rsid w:val="00073410"/>
    <w:rsid w:val="0007413A"/>
    <w:rsid w:val="00076BB7"/>
    <w:rsid w:val="000829AF"/>
    <w:rsid w:val="00083926"/>
    <w:rsid w:val="000901DC"/>
    <w:rsid w:val="00092A09"/>
    <w:rsid w:val="00094C6B"/>
    <w:rsid w:val="00094F7D"/>
    <w:rsid w:val="0009547B"/>
    <w:rsid w:val="000A0BAA"/>
    <w:rsid w:val="000A20E1"/>
    <w:rsid w:val="000A3536"/>
    <w:rsid w:val="000A3556"/>
    <w:rsid w:val="000A3E59"/>
    <w:rsid w:val="000A7222"/>
    <w:rsid w:val="000B029D"/>
    <w:rsid w:val="000B1547"/>
    <w:rsid w:val="000B16F4"/>
    <w:rsid w:val="000B3EB6"/>
    <w:rsid w:val="000C733E"/>
    <w:rsid w:val="000D2A7E"/>
    <w:rsid w:val="000D47E6"/>
    <w:rsid w:val="000D6B8D"/>
    <w:rsid w:val="000E1C60"/>
    <w:rsid w:val="000E1CEB"/>
    <w:rsid w:val="000E52DF"/>
    <w:rsid w:val="000F1155"/>
    <w:rsid w:val="000F2743"/>
    <w:rsid w:val="000F2E91"/>
    <w:rsid w:val="000F3286"/>
    <w:rsid w:val="00100482"/>
    <w:rsid w:val="001008A6"/>
    <w:rsid w:val="00102B15"/>
    <w:rsid w:val="001044DE"/>
    <w:rsid w:val="001050B5"/>
    <w:rsid w:val="00112D4F"/>
    <w:rsid w:val="00117235"/>
    <w:rsid w:val="00122C91"/>
    <w:rsid w:val="001245DA"/>
    <w:rsid w:val="0012606F"/>
    <w:rsid w:val="00127EE0"/>
    <w:rsid w:val="0013092C"/>
    <w:rsid w:val="0013254D"/>
    <w:rsid w:val="00132A60"/>
    <w:rsid w:val="00133D34"/>
    <w:rsid w:val="00133F8E"/>
    <w:rsid w:val="00134ED7"/>
    <w:rsid w:val="001356AE"/>
    <w:rsid w:val="00136D0A"/>
    <w:rsid w:val="001370DA"/>
    <w:rsid w:val="00152922"/>
    <w:rsid w:val="00155624"/>
    <w:rsid w:val="00164BFD"/>
    <w:rsid w:val="00164C44"/>
    <w:rsid w:val="0017401A"/>
    <w:rsid w:val="00174A79"/>
    <w:rsid w:val="00174EC8"/>
    <w:rsid w:val="00174FEA"/>
    <w:rsid w:val="00175FAA"/>
    <w:rsid w:val="001825CC"/>
    <w:rsid w:val="001965A9"/>
    <w:rsid w:val="001A08D5"/>
    <w:rsid w:val="001A33D2"/>
    <w:rsid w:val="001A485A"/>
    <w:rsid w:val="001A57AB"/>
    <w:rsid w:val="001B1792"/>
    <w:rsid w:val="001B2CCF"/>
    <w:rsid w:val="001B6CBA"/>
    <w:rsid w:val="001C69B9"/>
    <w:rsid w:val="001D0550"/>
    <w:rsid w:val="001D350F"/>
    <w:rsid w:val="001E4FC6"/>
    <w:rsid w:val="001E7708"/>
    <w:rsid w:val="001F038F"/>
    <w:rsid w:val="001F28F2"/>
    <w:rsid w:val="001F4A45"/>
    <w:rsid w:val="00200F8C"/>
    <w:rsid w:val="00206B8A"/>
    <w:rsid w:val="00215CB5"/>
    <w:rsid w:val="00216930"/>
    <w:rsid w:val="002176CF"/>
    <w:rsid w:val="00217777"/>
    <w:rsid w:val="00217EF8"/>
    <w:rsid w:val="00222A2B"/>
    <w:rsid w:val="00234ED6"/>
    <w:rsid w:val="00242D3F"/>
    <w:rsid w:val="00243F5D"/>
    <w:rsid w:val="00244D0C"/>
    <w:rsid w:val="00251741"/>
    <w:rsid w:val="002535DF"/>
    <w:rsid w:val="00261559"/>
    <w:rsid w:val="00262E1D"/>
    <w:rsid w:val="00265746"/>
    <w:rsid w:val="002712A2"/>
    <w:rsid w:val="002752A7"/>
    <w:rsid w:val="002776C9"/>
    <w:rsid w:val="00280489"/>
    <w:rsid w:val="00285600"/>
    <w:rsid w:val="00293E8F"/>
    <w:rsid w:val="002978FB"/>
    <w:rsid w:val="002A0261"/>
    <w:rsid w:val="002A13E3"/>
    <w:rsid w:val="002A256E"/>
    <w:rsid w:val="002A25C7"/>
    <w:rsid w:val="002A37DC"/>
    <w:rsid w:val="002A3E8C"/>
    <w:rsid w:val="002A571B"/>
    <w:rsid w:val="002A63FA"/>
    <w:rsid w:val="002B117F"/>
    <w:rsid w:val="002B24FF"/>
    <w:rsid w:val="002B73E8"/>
    <w:rsid w:val="002C282D"/>
    <w:rsid w:val="002C359A"/>
    <w:rsid w:val="002E03C4"/>
    <w:rsid w:val="002E4203"/>
    <w:rsid w:val="002E4C04"/>
    <w:rsid w:val="002E5DDD"/>
    <w:rsid w:val="002E6E62"/>
    <w:rsid w:val="002F12C1"/>
    <w:rsid w:val="003022FC"/>
    <w:rsid w:val="0030358D"/>
    <w:rsid w:val="0030435A"/>
    <w:rsid w:val="003106DA"/>
    <w:rsid w:val="003274C6"/>
    <w:rsid w:val="0033105A"/>
    <w:rsid w:val="00334CC5"/>
    <w:rsid w:val="00351126"/>
    <w:rsid w:val="0035393A"/>
    <w:rsid w:val="00353948"/>
    <w:rsid w:val="00354353"/>
    <w:rsid w:val="00355B37"/>
    <w:rsid w:val="00362C50"/>
    <w:rsid w:val="00370644"/>
    <w:rsid w:val="003751A8"/>
    <w:rsid w:val="00375723"/>
    <w:rsid w:val="003757A7"/>
    <w:rsid w:val="00376467"/>
    <w:rsid w:val="0038474E"/>
    <w:rsid w:val="0038598F"/>
    <w:rsid w:val="0039006D"/>
    <w:rsid w:val="00391ECA"/>
    <w:rsid w:val="003A2B7C"/>
    <w:rsid w:val="003A394E"/>
    <w:rsid w:val="003A7008"/>
    <w:rsid w:val="003B39E8"/>
    <w:rsid w:val="003B7C97"/>
    <w:rsid w:val="003C4F04"/>
    <w:rsid w:val="003C75B4"/>
    <w:rsid w:val="003D06BF"/>
    <w:rsid w:val="003D2F07"/>
    <w:rsid w:val="003E21F0"/>
    <w:rsid w:val="003E4A0B"/>
    <w:rsid w:val="003E5CCE"/>
    <w:rsid w:val="003F0242"/>
    <w:rsid w:val="003F3254"/>
    <w:rsid w:val="003F67E3"/>
    <w:rsid w:val="003F77C5"/>
    <w:rsid w:val="004013AA"/>
    <w:rsid w:val="0040274C"/>
    <w:rsid w:val="00404839"/>
    <w:rsid w:val="004059D1"/>
    <w:rsid w:val="00406552"/>
    <w:rsid w:val="00406DA2"/>
    <w:rsid w:val="00407C11"/>
    <w:rsid w:val="00411ABD"/>
    <w:rsid w:val="0041448C"/>
    <w:rsid w:val="00416517"/>
    <w:rsid w:val="004209B9"/>
    <w:rsid w:val="00424E04"/>
    <w:rsid w:val="00431CC8"/>
    <w:rsid w:val="004340C7"/>
    <w:rsid w:val="004365D6"/>
    <w:rsid w:val="0044090C"/>
    <w:rsid w:val="00440C64"/>
    <w:rsid w:val="004513AA"/>
    <w:rsid w:val="00452B94"/>
    <w:rsid w:val="004672AB"/>
    <w:rsid w:val="00471E59"/>
    <w:rsid w:val="00476F88"/>
    <w:rsid w:val="0048040D"/>
    <w:rsid w:val="00481782"/>
    <w:rsid w:val="00484694"/>
    <w:rsid w:val="004A033F"/>
    <w:rsid w:val="004A1AD8"/>
    <w:rsid w:val="004A3585"/>
    <w:rsid w:val="004A556C"/>
    <w:rsid w:val="004B2084"/>
    <w:rsid w:val="004B21F5"/>
    <w:rsid w:val="004B362C"/>
    <w:rsid w:val="004B62DF"/>
    <w:rsid w:val="004C102E"/>
    <w:rsid w:val="004C2EC3"/>
    <w:rsid w:val="004C36CD"/>
    <w:rsid w:val="004C454B"/>
    <w:rsid w:val="004D7339"/>
    <w:rsid w:val="004E0546"/>
    <w:rsid w:val="004E097F"/>
    <w:rsid w:val="004E4B42"/>
    <w:rsid w:val="004E58F6"/>
    <w:rsid w:val="004E74EF"/>
    <w:rsid w:val="00500A7A"/>
    <w:rsid w:val="005016D6"/>
    <w:rsid w:val="005019EB"/>
    <w:rsid w:val="00505483"/>
    <w:rsid w:val="005065F1"/>
    <w:rsid w:val="0051170A"/>
    <w:rsid w:val="005173D8"/>
    <w:rsid w:val="00522AB2"/>
    <w:rsid w:val="0052347B"/>
    <w:rsid w:val="00525971"/>
    <w:rsid w:val="00535165"/>
    <w:rsid w:val="005356E5"/>
    <w:rsid w:val="00535AB4"/>
    <w:rsid w:val="00543C28"/>
    <w:rsid w:val="00546720"/>
    <w:rsid w:val="0055491D"/>
    <w:rsid w:val="0055670E"/>
    <w:rsid w:val="0057129F"/>
    <w:rsid w:val="005715CE"/>
    <w:rsid w:val="00573AB4"/>
    <w:rsid w:val="005812F6"/>
    <w:rsid w:val="00585C29"/>
    <w:rsid w:val="00586621"/>
    <w:rsid w:val="005872E0"/>
    <w:rsid w:val="00592E0B"/>
    <w:rsid w:val="0059779E"/>
    <w:rsid w:val="005A0472"/>
    <w:rsid w:val="005A18B4"/>
    <w:rsid w:val="005A5738"/>
    <w:rsid w:val="005A6FA8"/>
    <w:rsid w:val="005A78C3"/>
    <w:rsid w:val="005B29FB"/>
    <w:rsid w:val="005B402B"/>
    <w:rsid w:val="005B711F"/>
    <w:rsid w:val="005C2C23"/>
    <w:rsid w:val="005C59DC"/>
    <w:rsid w:val="005C5F4D"/>
    <w:rsid w:val="005E6BB1"/>
    <w:rsid w:val="006022A2"/>
    <w:rsid w:val="00602E08"/>
    <w:rsid w:val="00604946"/>
    <w:rsid w:val="00611996"/>
    <w:rsid w:val="00613B01"/>
    <w:rsid w:val="00614852"/>
    <w:rsid w:val="00614E1A"/>
    <w:rsid w:val="00615BFC"/>
    <w:rsid w:val="00623BEE"/>
    <w:rsid w:val="00625B9D"/>
    <w:rsid w:val="006262DE"/>
    <w:rsid w:val="0063147F"/>
    <w:rsid w:val="00636431"/>
    <w:rsid w:val="00636B44"/>
    <w:rsid w:val="00637076"/>
    <w:rsid w:val="00637A6C"/>
    <w:rsid w:val="00640790"/>
    <w:rsid w:val="006458CA"/>
    <w:rsid w:val="00646FBF"/>
    <w:rsid w:val="0065016B"/>
    <w:rsid w:val="0065407E"/>
    <w:rsid w:val="006557DB"/>
    <w:rsid w:val="00664E11"/>
    <w:rsid w:val="00665F8D"/>
    <w:rsid w:val="006675E7"/>
    <w:rsid w:val="00671A46"/>
    <w:rsid w:val="00674A57"/>
    <w:rsid w:val="006808A6"/>
    <w:rsid w:val="00682785"/>
    <w:rsid w:val="00690176"/>
    <w:rsid w:val="00693D5F"/>
    <w:rsid w:val="006A1385"/>
    <w:rsid w:val="006A483D"/>
    <w:rsid w:val="006A759D"/>
    <w:rsid w:val="006A7AA8"/>
    <w:rsid w:val="006B3491"/>
    <w:rsid w:val="006B4564"/>
    <w:rsid w:val="006B495D"/>
    <w:rsid w:val="006C075B"/>
    <w:rsid w:val="006C21CB"/>
    <w:rsid w:val="006C2ECC"/>
    <w:rsid w:val="006C5389"/>
    <w:rsid w:val="006C5D1E"/>
    <w:rsid w:val="006D0318"/>
    <w:rsid w:val="006D04B1"/>
    <w:rsid w:val="006D0E02"/>
    <w:rsid w:val="006D12DB"/>
    <w:rsid w:val="006D2739"/>
    <w:rsid w:val="006E0446"/>
    <w:rsid w:val="006E05A7"/>
    <w:rsid w:val="006E4725"/>
    <w:rsid w:val="006E5FC3"/>
    <w:rsid w:val="006F1329"/>
    <w:rsid w:val="006F36C6"/>
    <w:rsid w:val="006F40D9"/>
    <w:rsid w:val="00700271"/>
    <w:rsid w:val="007045B4"/>
    <w:rsid w:val="00705B87"/>
    <w:rsid w:val="00712115"/>
    <w:rsid w:val="00713174"/>
    <w:rsid w:val="00723E79"/>
    <w:rsid w:val="00731A1F"/>
    <w:rsid w:val="0073215B"/>
    <w:rsid w:val="00733471"/>
    <w:rsid w:val="007339B3"/>
    <w:rsid w:val="00737C4E"/>
    <w:rsid w:val="00741D3D"/>
    <w:rsid w:val="0074359B"/>
    <w:rsid w:val="00745608"/>
    <w:rsid w:val="007466EC"/>
    <w:rsid w:val="007539E6"/>
    <w:rsid w:val="007548C5"/>
    <w:rsid w:val="00760748"/>
    <w:rsid w:val="00762F7A"/>
    <w:rsid w:val="0076387B"/>
    <w:rsid w:val="00764AC3"/>
    <w:rsid w:val="00766059"/>
    <w:rsid w:val="00771CB8"/>
    <w:rsid w:val="00772F59"/>
    <w:rsid w:val="007732B0"/>
    <w:rsid w:val="007751FA"/>
    <w:rsid w:val="00784F87"/>
    <w:rsid w:val="0078612D"/>
    <w:rsid w:val="00787AA6"/>
    <w:rsid w:val="007933A0"/>
    <w:rsid w:val="0079480D"/>
    <w:rsid w:val="0079550E"/>
    <w:rsid w:val="00795890"/>
    <w:rsid w:val="007A2B6A"/>
    <w:rsid w:val="007A2E24"/>
    <w:rsid w:val="007A3385"/>
    <w:rsid w:val="007A53CA"/>
    <w:rsid w:val="007E40F7"/>
    <w:rsid w:val="007E598A"/>
    <w:rsid w:val="007E7397"/>
    <w:rsid w:val="007F1FB2"/>
    <w:rsid w:val="007F30EB"/>
    <w:rsid w:val="007F5861"/>
    <w:rsid w:val="007F5E2E"/>
    <w:rsid w:val="007F6D53"/>
    <w:rsid w:val="0080086C"/>
    <w:rsid w:val="0080180F"/>
    <w:rsid w:val="00803A4E"/>
    <w:rsid w:val="00807304"/>
    <w:rsid w:val="008078F5"/>
    <w:rsid w:val="00810D3C"/>
    <w:rsid w:val="008215C0"/>
    <w:rsid w:val="008239A0"/>
    <w:rsid w:val="008246A2"/>
    <w:rsid w:val="00825737"/>
    <w:rsid w:val="00837D24"/>
    <w:rsid w:val="00841567"/>
    <w:rsid w:val="00847701"/>
    <w:rsid w:val="00847E92"/>
    <w:rsid w:val="0085399F"/>
    <w:rsid w:val="008546EB"/>
    <w:rsid w:val="00855B20"/>
    <w:rsid w:val="00857650"/>
    <w:rsid w:val="00860D42"/>
    <w:rsid w:val="00861FB7"/>
    <w:rsid w:val="008714CA"/>
    <w:rsid w:val="0087237C"/>
    <w:rsid w:val="00880BD7"/>
    <w:rsid w:val="00881AF3"/>
    <w:rsid w:val="00885DFE"/>
    <w:rsid w:val="0088657F"/>
    <w:rsid w:val="008876B5"/>
    <w:rsid w:val="008929CE"/>
    <w:rsid w:val="008960CF"/>
    <w:rsid w:val="008A24B3"/>
    <w:rsid w:val="008A2525"/>
    <w:rsid w:val="008A3209"/>
    <w:rsid w:val="008A6903"/>
    <w:rsid w:val="008B40B9"/>
    <w:rsid w:val="008C3B9C"/>
    <w:rsid w:val="008C43B5"/>
    <w:rsid w:val="008C5432"/>
    <w:rsid w:val="008D3F8E"/>
    <w:rsid w:val="008D609C"/>
    <w:rsid w:val="008D62CB"/>
    <w:rsid w:val="008E0279"/>
    <w:rsid w:val="008E5EEE"/>
    <w:rsid w:val="008E6440"/>
    <w:rsid w:val="008F47D1"/>
    <w:rsid w:val="008F5462"/>
    <w:rsid w:val="008F6ED6"/>
    <w:rsid w:val="00911F02"/>
    <w:rsid w:val="00911FBB"/>
    <w:rsid w:val="00912D81"/>
    <w:rsid w:val="00913507"/>
    <w:rsid w:val="009277AD"/>
    <w:rsid w:val="00930308"/>
    <w:rsid w:val="009313A7"/>
    <w:rsid w:val="00933D66"/>
    <w:rsid w:val="009459B1"/>
    <w:rsid w:val="00947AEB"/>
    <w:rsid w:val="00950AD9"/>
    <w:rsid w:val="00950FD7"/>
    <w:rsid w:val="0095683C"/>
    <w:rsid w:val="00957076"/>
    <w:rsid w:val="0096390B"/>
    <w:rsid w:val="009651C4"/>
    <w:rsid w:val="00965D44"/>
    <w:rsid w:val="00967C1A"/>
    <w:rsid w:val="00967D20"/>
    <w:rsid w:val="00967D82"/>
    <w:rsid w:val="00970EAC"/>
    <w:rsid w:val="00975685"/>
    <w:rsid w:val="00975D5B"/>
    <w:rsid w:val="009770E5"/>
    <w:rsid w:val="00981721"/>
    <w:rsid w:val="009824AE"/>
    <w:rsid w:val="00986A26"/>
    <w:rsid w:val="009948DA"/>
    <w:rsid w:val="009959C7"/>
    <w:rsid w:val="009A3010"/>
    <w:rsid w:val="009B019E"/>
    <w:rsid w:val="009B14CA"/>
    <w:rsid w:val="009B1F40"/>
    <w:rsid w:val="009B716E"/>
    <w:rsid w:val="009C3896"/>
    <w:rsid w:val="009C4AD0"/>
    <w:rsid w:val="009C588B"/>
    <w:rsid w:val="009E1B27"/>
    <w:rsid w:val="009F69F2"/>
    <w:rsid w:val="009F7737"/>
    <w:rsid w:val="00A02114"/>
    <w:rsid w:val="00A03BD7"/>
    <w:rsid w:val="00A05C87"/>
    <w:rsid w:val="00A06966"/>
    <w:rsid w:val="00A07E30"/>
    <w:rsid w:val="00A14429"/>
    <w:rsid w:val="00A160DF"/>
    <w:rsid w:val="00A20879"/>
    <w:rsid w:val="00A22092"/>
    <w:rsid w:val="00A2637D"/>
    <w:rsid w:val="00A2710A"/>
    <w:rsid w:val="00A27147"/>
    <w:rsid w:val="00A27927"/>
    <w:rsid w:val="00A327E6"/>
    <w:rsid w:val="00A33BD5"/>
    <w:rsid w:val="00A34D87"/>
    <w:rsid w:val="00A441FF"/>
    <w:rsid w:val="00A51186"/>
    <w:rsid w:val="00A52D1A"/>
    <w:rsid w:val="00A55F1B"/>
    <w:rsid w:val="00A624FA"/>
    <w:rsid w:val="00A66416"/>
    <w:rsid w:val="00A7352B"/>
    <w:rsid w:val="00A771EF"/>
    <w:rsid w:val="00A87222"/>
    <w:rsid w:val="00A9082C"/>
    <w:rsid w:val="00A93ACC"/>
    <w:rsid w:val="00A95E53"/>
    <w:rsid w:val="00AA2A7E"/>
    <w:rsid w:val="00AA5F13"/>
    <w:rsid w:val="00AA612A"/>
    <w:rsid w:val="00AB7CEE"/>
    <w:rsid w:val="00AC1E49"/>
    <w:rsid w:val="00AC1F3F"/>
    <w:rsid w:val="00AD2B1D"/>
    <w:rsid w:val="00AD2E15"/>
    <w:rsid w:val="00AD5AF8"/>
    <w:rsid w:val="00AD6F93"/>
    <w:rsid w:val="00AD7AC0"/>
    <w:rsid w:val="00AE003C"/>
    <w:rsid w:val="00AE22BB"/>
    <w:rsid w:val="00AF5AFF"/>
    <w:rsid w:val="00AF5B23"/>
    <w:rsid w:val="00B111B0"/>
    <w:rsid w:val="00B152DA"/>
    <w:rsid w:val="00B37A95"/>
    <w:rsid w:val="00B44810"/>
    <w:rsid w:val="00B506B3"/>
    <w:rsid w:val="00B60AC5"/>
    <w:rsid w:val="00B6177C"/>
    <w:rsid w:val="00B621A0"/>
    <w:rsid w:val="00B624A7"/>
    <w:rsid w:val="00B639F2"/>
    <w:rsid w:val="00B63D18"/>
    <w:rsid w:val="00B811C4"/>
    <w:rsid w:val="00B81EB0"/>
    <w:rsid w:val="00B83FCA"/>
    <w:rsid w:val="00B84C11"/>
    <w:rsid w:val="00B855E9"/>
    <w:rsid w:val="00B85E09"/>
    <w:rsid w:val="00B920DF"/>
    <w:rsid w:val="00B95C66"/>
    <w:rsid w:val="00B9737C"/>
    <w:rsid w:val="00BA3B2D"/>
    <w:rsid w:val="00BA4730"/>
    <w:rsid w:val="00BB71AE"/>
    <w:rsid w:val="00BC0B54"/>
    <w:rsid w:val="00BC201D"/>
    <w:rsid w:val="00BC319C"/>
    <w:rsid w:val="00BC3E24"/>
    <w:rsid w:val="00BC4E14"/>
    <w:rsid w:val="00BC72E0"/>
    <w:rsid w:val="00BD45B3"/>
    <w:rsid w:val="00BD7554"/>
    <w:rsid w:val="00BD7EB7"/>
    <w:rsid w:val="00BE2FA1"/>
    <w:rsid w:val="00BE3F90"/>
    <w:rsid w:val="00BE5A47"/>
    <w:rsid w:val="00BE63F3"/>
    <w:rsid w:val="00BE76AF"/>
    <w:rsid w:val="00BF09FD"/>
    <w:rsid w:val="00BF22D2"/>
    <w:rsid w:val="00BF3C54"/>
    <w:rsid w:val="00BF54D5"/>
    <w:rsid w:val="00BF6C9A"/>
    <w:rsid w:val="00C01E4C"/>
    <w:rsid w:val="00C035F0"/>
    <w:rsid w:val="00C0438C"/>
    <w:rsid w:val="00C152F1"/>
    <w:rsid w:val="00C15EA2"/>
    <w:rsid w:val="00C1696F"/>
    <w:rsid w:val="00C16D3D"/>
    <w:rsid w:val="00C1709C"/>
    <w:rsid w:val="00C27466"/>
    <w:rsid w:val="00C30B5B"/>
    <w:rsid w:val="00C32FE8"/>
    <w:rsid w:val="00C436B3"/>
    <w:rsid w:val="00C457F2"/>
    <w:rsid w:val="00C465AB"/>
    <w:rsid w:val="00C5124B"/>
    <w:rsid w:val="00C533EA"/>
    <w:rsid w:val="00C53EAB"/>
    <w:rsid w:val="00C56A7C"/>
    <w:rsid w:val="00C61105"/>
    <w:rsid w:val="00C62AF0"/>
    <w:rsid w:val="00C66CCF"/>
    <w:rsid w:val="00C70F82"/>
    <w:rsid w:val="00C73D6A"/>
    <w:rsid w:val="00C81153"/>
    <w:rsid w:val="00C86BA7"/>
    <w:rsid w:val="00C924D2"/>
    <w:rsid w:val="00C92B09"/>
    <w:rsid w:val="00CA5DBA"/>
    <w:rsid w:val="00CA7329"/>
    <w:rsid w:val="00CC117A"/>
    <w:rsid w:val="00CD5BFA"/>
    <w:rsid w:val="00CD6FF1"/>
    <w:rsid w:val="00CE196D"/>
    <w:rsid w:val="00CE66C3"/>
    <w:rsid w:val="00CF51A1"/>
    <w:rsid w:val="00CF7DC2"/>
    <w:rsid w:val="00D07FFD"/>
    <w:rsid w:val="00D12482"/>
    <w:rsid w:val="00D12644"/>
    <w:rsid w:val="00D12C91"/>
    <w:rsid w:val="00D133B8"/>
    <w:rsid w:val="00D13921"/>
    <w:rsid w:val="00D16877"/>
    <w:rsid w:val="00D1717A"/>
    <w:rsid w:val="00D22691"/>
    <w:rsid w:val="00D22D7E"/>
    <w:rsid w:val="00D3301E"/>
    <w:rsid w:val="00D41C52"/>
    <w:rsid w:val="00D45081"/>
    <w:rsid w:val="00D46B00"/>
    <w:rsid w:val="00D522DE"/>
    <w:rsid w:val="00D52402"/>
    <w:rsid w:val="00D568C6"/>
    <w:rsid w:val="00D626B0"/>
    <w:rsid w:val="00D671DB"/>
    <w:rsid w:val="00D67A46"/>
    <w:rsid w:val="00D70D3C"/>
    <w:rsid w:val="00D7587E"/>
    <w:rsid w:val="00D75F10"/>
    <w:rsid w:val="00D77343"/>
    <w:rsid w:val="00D77372"/>
    <w:rsid w:val="00D82182"/>
    <w:rsid w:val="00D925E8"/>
    <w:rsid w:val="00D955C3"/>
    <w:rsid w:val="00D96799"/>
    <w:rsid w:val="00D9776E"/>
    <w:rsid w:val="00DA12CD"/>
    <w:rsid w:val="00DA1692"/>
    <w:rsid w:val="00DA372E"/>
    <w:rsid w:val="00DA475C"/>
    <w:rsid w:val="00DA6846"/>
    <w:rsid w:val="00DB1493"/>
    <w:rsid w:val="00DB6DE2"/>
    <w:rsid w:val="00DB752D"/>
    <w:rsid w:val="00DC0867"/>
    <w:rsid w:val="00DC3E54"/>
    <w:rsid w:val="00DC682A"/>
    <w:rsid w:val="00DD0AA1"/>
    <w:rsid w:val="00DD1F6E"/>
    <w:rsid w:val="00DD31BA"/>
    <w:rsid w:val="00DD7C1C"/>
    <w:rsid w:val="00DE1EA4"/>
    <w:rsid w:val="00DE494E"/>
    <w:rsid w:val="00DE4E15"/>
    <w:rsid w:val="00DF4913"/>
    <w:rsid w:val="00DF50B6"/>
    <w:rsid w:val="00E02D68"/>
    <w:rsid w:val="00E0549F"/>
    <w:rsid w:val="00E220DC"/>
    <w:rsid w:val="00E31B19"/>
    <w:rsid w:val="00E3455E"/>
    <w:rsid w:val="00E3567C"/>
    <w:rsid w:val="00E379CD"/>
    <w:rsid w:val="00E40B19"/>
    <w:rsid w:val="00E43880"/>
    <w:rsid w:val="00E45764"/>
    <w:rsid w:val="00E46F3F"/>
    <w:rsid w:val="00E50627"/>
    <w:rsid w:val="00E50931"/>
    <w:rsid w:val="00E50AA4"/>
    <w:rsid w:val="00E5130B"/>
    <w:rsid w:val="00E53966"/>
    <w:rsid w:val="00E56C93"/>
    <w:rsid w:val="00E60A12"/>
    <w:rsid w:val="00E6318A"/>
    <w:rsid w:val="00E6588F"/>
    <w:rsid w:val="00E65D42"/>
    <w:rsid w:val="00E67D36"/>
    <w:rsid w:val="00E70227"/>
    <w:rsid w:val="00E72C2A"/>
    <w:rsid w:val="00E84B35"/>
    <w:rsid w:val="00E86D96"/>
    <w:rsid w:val="00E973F8"/>
    <w:rsid w:val="00EA31FC"/>
    <w:rsid w:val="00EA5494"/>
    <w:rsid w:val="00EB5ACD"/>
    <w:rsid w:val="00EC0AF1"/>
    <w:rsid w:val="00EC1DD9"/>
    <w:rsid w:val="00EC5DC8"/>
    <w:rsid w:val="00ED6E83"/>
    <w:rsid w:val="00EE07A5"/>
    <w:rsid w:val="00EE25B8"/>
    <w:rsid w:val="00EE31A4"/>
    <w:rsid w:val="00EE56B6"/>
    <w:rsid w:val="00EF2B0F"/>
    <w:rsid w:val="00EF30E3"/>
    <w:rsid w:val="00EF41B2"/>
    <w:rsid w:val="00EF4FEB"/>
    <w:rsid w:val="00EF57AD"/>
    <w:rsid w:val="00EF6D83"/>
    <w:rsid w:val="00EF7E34"/>
    <w:rsid w:val="00F04456"/>
    <w:rsid w:val="00F050BA"/>
    <w:rsid w:val="00F07017"/>
    <w:rsid w:val="00F10B25"/>
    <w:rsid w:val="00F11C66"/>
    <w:rsid w:val="00F147E7"/>
    <w:rsid w:val="00F15886"/>
    <w:rsid w:val="00F17631"/>
    <w:rsid w:val="00F2102B"/>
    <w:rsid w:val="00F210C8"/>
    <w:rsid w:val="00F2506E"/>
    <w:rsid w:val="00F2541B"/>
    <w:rsid w:val="00F441F3"/>
    <w:rsid w:val="00F468F6"/>
    <w:rsid w:val="00F46907"/>
    <w:rsid w:val="00F46B9F"/>
    <w:rsid w:val="00F558D3"/>
    <w:rsid w:val="00F6021A"/>
    <w:rsid w:val="00F67037"/>
    <w:rsid w:val="00F73D5B"/>
    <w:rsid w:val="00F749CF"/>
    <w:rsid w:val="00F74CD8"/>
    <w:rsid w:val="00F8273A"/>
    <w:rsid w:val="00F864E2"/>
    <w:rsid w:val="00F912D4"/>
    <w:rsid w:val="00F9154A"/>
    <w:rsid w:val="00F9313C"/>
    <w:rsid w:val="00F9607C"/>
    <w:rsid w:val="00FA5615"/>
    <w:rsid w:val="00FA6B47"/>
    <w:rsid w:val="00FB3FC6"/>
    <w:rsid w:val="00FB4CAD"/>
    <w:rsid w:val="00FB6D0F"/>
    <w:rsid w:val="00FB6DCE"/>
    <w:rsid w:val="00FC3648"/>
    <w:rsid w:val="00FC4B1D"/>
    <w:rsid w:val="00FC677A"/>
    <w:rsid w:val="00FD20E3"/>
    <w:rsid w:val="00FD6FD1"/>
    <w:rsid w:val="00FD7AC8"/>
    <w:rsid w:val="00FE2F8F"/>
    <w:rsid w:val="00FF01D2"/>
    <w:rsid w:val="00F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74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54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E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4E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C1E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4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E1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111B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43F5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F6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74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54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E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4E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C1E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4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E1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111B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43F5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F6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1D9800B2.dotm</Template>
  <TotalTime>0</TotalTime>
  <Pages>5</Pages>
  <Words>636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4639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Dimitrios Christodoulou</dc:creator>
  <cp:lastModifiedBy>Kogadeeva  Maria</cp:lastModifiedBy>
  <cp:revision>2</cp:revision>
  <cp:lastPrinted>2016-02-16T14:49:00Z</cp:lastPrinted>
  <dcterms:created xsi:type="dcterms:W3CDTF">2016-03-02T14:28:00Z</dcterms:created>
  <dcterms:modified xsi:type="dcterms:W3CDTF">2016-03-02T14:28:00Z</dcterms:modified>
</cp:coreProperties>
</file>